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E2FE68B">
      <w:pPr>
        <w:keepNext/>
        <w:keepLines/>
        <w:spacing w:before="260" w:after="260" w:line="416" w:lineRule="atLeast"/>
        <w:jc w:val="center"/>
        <w:outlineLvl w:val="1"/>
        <w:rPr>
          <w:rFonts w:hint="eastAsia" w:ascii="Times New Roman" w:hAnsi="Times New Roman" w:eastAsia="宋体"/>
          <w:b/>
          <w:bCs/>
          <w:sz w:val="28"/>
          <w:szCs w:val="28"/>
          <w:lang w:eastAsia="zh-CN"/>
        </w:rPr>
      </w:pPr>
    </w:p>
    <w:p w14:paraId="1752A185">
      <w:pPr>
        <w:keepNext/>
        <w:keepLines/>
        <w:spacing w:before="260" w:after="260" w:line="416" w:lineRule="atLeast"/>
        <w:jc w:val="center"/>
        <w:outlineLvl w:val="1"/>
        <w:rPr>
          <w:rFonts w:hint="eastAsia" w:ascii="Times New Roman" w:hAnsi="Times New Roman"/>
          <w:b/>
          <w:bCs/>
          <w:sz w:val="28"/>
          <w:szCs w:val="28"/>
        </w:rPr>
      </w:pPr>
    </w:p>
    <w:p w14:paraId="2C192A5C">
      <w:pPr>
        <w:pStyle w:val="2"/>
        <w:bidi w:val="0"/>
        <w:jc w:val="center"/>
        <w:rPr>
          <w:rFonts w:hint="eastAsia" w:ascii="Times New Roman" w:hAnsi="Times New Roman"/>
          <w:b/>
          <w:bCs/>
          <w:sz w:val="28"/>
          <w:szCs w:val="28"/>
        </w:rPr>
      </w:pPr>
      <w:r>
        <w:rPr>
          <w:rFonts w:hint="eastAsia" w:ascii="微软简老宋" w:hAnsi="微软简老宋" w:eastAsia="微软简老宋" w:cs="微软简老宋"/>
          <w:color w:val="FFFFFF" w:themeColor="background1"/>
          <w:sz w:val="84"/>
          <w:szCs w:val="84"/>
          <w14:textFill>
            <w14:solidFill>
              <w14:schemeClr w14:val="bg1"/>
            </w14:solidFill>
          </w14:textFill>
        </w:rPr>
        <w:t>《</w:t>
      </w:r>
      <w:r>
        <w:rPr>
          <w:rFonts w:hint="eastAsia" w:ascii="微软简老宋" w:hAnsi="微软简老宋" w:eastAsia="微软简老宋" w:cs="微软简老宋"/>
          <w:color w:val="FFFFFF" w:themeColor="background1"/>
          <w:sz w:val="84"/>
          <w:szCs w:val="84"/>
          <w:lang w:val="en-US" w:eastAsia="zh-CN"/>
          <w14:textFill>
            <w14:solidFill>
              <w14:schemeClr w14:val="bg1"/>
            </w14:solidFill>
          </w14:textFill>
        </w:rPr>
        <w:t>临床医学概论</w:t>
      </w:r>
      <w:r>
        <w:rPr>
          <w:rFonts w:hint="eastAsia" w:ascii="微软简老宋" w:hAnsi="微软简老宋" w:eastAsia="微软简老宋" w:cs="微软简老宋"/>
          <w:color w:val="FFFFFF" w:themeColor="background1"/>
          <w:sz w:val="84"/>
          <w:szCs w:val="84"/>
          <w14:textFill>
            <w14:solidFill>
              <w14:schemeClr w14:val="bg1"/>
            </w14:solidFill>
          </w14:textFill>
        </w:rPr>
        <w:t>》</w:t>
      </w:r>
    </w:p>
    <w:p w14:paraId="2BCF7129">
      <w:pPr>
        <w:keepNext/>
        <w:keepLines/>
        <w:spacing w:before="260" w:after="260" w:line="416" w:lineRule="atLeast"/>
        <w:jc w:val="center"/>
        <w:outlineLvl w:val="1"/>
        <w:rPr>
          <w:rFonts w:hint="eastAsia" w:ascii="Times New Roman" w:hAnsi="Times New Roman"/>
          <w:b/>
          <w:bCs/>
          <w:sz w:val="52"/>
          <w:szCs w:val="52"/>
        </w:rPr>
      </w:pPr>
      <w:r>
        <w:rPr>
          <w:rFonts w:hint="eastAsia" w:ascii="Times New Roman" w:hAnsi="Times New Roman"/>
          <w:b/>
          <w:bCs/>
          <w:sz w:val="52"/>
          <w:szCs w:val="52"/>
        </w:rPr>
        <w:t>（第二版）</w:t>
      </w:r>
    </w:p>
    <w:p w14:paraId="23AD385F">
      <w:pPr>
        <w:keepNext/>
        <w:keepLines/>
        <w:spacing w:before="260" w:after="260" w:line="240" w:lineRule="auto"/>
        <w:jc w:val="center"/>
        <w:outlineLvl w:val="1"/>
        <w:rPr>
          <w:rFonts w:hint="eastAsia" w:ascii="Times New Roman" w:hAnsi="Times New Roman"/>
          <w:b/>
          <w:bCs/>
          <w:sz w:val="52"/>
          <w:szCs w:val="52"/>
        </w:rPr>
      </w:pPr>
    </w:p>
    <w:p w14:paraId="4C1314DC">
      <w:pPr>
        <w:keepNext/>
        <w:keepLines/>
        <w:spacing w:before="260" w:after="260" w:line="240" w:lineRule="auto"/>
        <w:jc w:val="center"/>
        <w:outlineLvl w:val="1"/>
        <w:rPr>
          <w:rFonts w:hint="eastAsia" w:ascii="Times New Roman" w:hAnsi="Times New Roman"/>
          <w:b/>
          <w:bCs/>
          <w:sz w:val="52"/>
          <w:szCs w:val="52"/>
        </w:rPr>
      </w:pPr>
    </w:p>
    <w:p w14:paraId="21545871">
      <w:pPr>
        <w:keepNext/>
        <w:keepLines/>
        <w:spacing w:before="260" w:after="260" w:line="240" w:lineRule="auto"/>
        <w:jc w:val="center"/>
        <w:outlineLvl w:val="1"/>
        <w:rPr>
          <w:rFonts w:hint="eastAsia" w:ascii="Times New Roman" w:hAnsi="Times New Roman"/>
          <w:b/>
          <w:bCs/>
          <w:sz w:val="30"/>
          <w:szCs w:val="30"/>
          <w:lang w:val="en-US" w:eastAsia="zh-CN"/>
        </w:rPr>
      </w:pPr>
    </w:p>
    <w:p w14:paraId="72DD4894">
      <w:pPr>
        <w:keepNext/>
        <w:keepLines/>
        <w:spacing w:before="260" w:after="260" w:line="240" w:lineRule="auto"/>
        <w:jc w:val="center"/>
        <w:outlineLvl w:val="1"/>
        <w:rPr>
          <w:rFonts w:hint="default" w:ascii="Times New Roman" w:hAnsi="Times New Roman" w:eastAsia="宋体"/>
          <w:b/>
          <w:bCs/>
          <w:sz w:val="52"/>
          <w:szCs w:val="52"/>
          <w:lang w:val="en-US" w:eastAsia="zh-CN"/>
        </w:rPr>
      </w:pPr>
      <w:r>
        <w:rPr>
          <w:rFonts w:hint="eastAsia" w:ascii="Times New Roman" w:hAnsi="Times New Roman"/>
          <w:b/>
          <w:bCs/>
          <w:sz w:val="30"/>
          <w:szCs w:val="30"/>
          <w:lang w:val="en-US" w:eastAsia="zh-CN"/>
        </w:rPr>
        <w:t>中南大学出版社</w:t>
      </w:r>
    </w:p>
    <w:p w14:paraId="5E81C5F3">
      <w:pPr>
        <w:keepNext/>
        <w:keepLines/>
        <w:spacing w:before="260" w:after="260" w:line="240" w:lineRule="auto"/>
        <w:jc w:val="center"/>
        <w:outlineLvl w:val="1"/>
        <w:rPr>
          <w:rFonts w:hint="eastAsia" w:ascii="Times New Roman" w:hAnsi="Times New Roman"/>
          <w:b/>
          <w:bCs/>
          <w:sz w:val="52"/>
          <w:szCs w:val="52"/>
        </w:rPr>
      </w:pPr>
    </w:p>
    <w:p w14:paraId="412EDB9B">
      <w:pPr>
        <w:keepNext/>
        <w:keepLines/>
        <w:spacing w:before="260" w:after="260" w:line="240" w:lineRule="auto"/>
        <w:jc w:val="center"/>
        <w:outlineLvl w:val="1"/>
        <w:rPr>
          <w:rFonts w:hint="eastAsia" w:ascii="Times New Roman" w:hAnsi="Times New Roman"/>
          <w:b/>
          <w:bCs/>
          <w:sz w:val="52"/>
          <w:szCs w:val="52"/>
        </w:rPr>
      </w:pPr>
    </w:p>
    <w:p w14:paraId="1DE0F138">
      <w:pPr>
        <w:keepNext/>
        <w:keepLines/>
        <w:spacing w:before="260" w:after="260" w:line="240" w:lineRule="auto"/>
        <w:jc w:val="center"/>
        <w:outlineLvl w:val="1"/>
        <w:rPr>
          <w:rFonts w:hint="eastAsia" w:ascii="Times New Roman" w:hAnsi="Times New Roman"/>
          <w:b/>
          <w:bCs/>
          <w:sz w:val="52"/>
          <w:szCs w:val="52"/>
        </w:rPr>
      </w:pPr>
    </w:p>
    <w:p w14:paraId="7F875E9A">
      <w:pPr>
        <w:keepNext/>
        <w:keepLines/>
        <w:spacing w:before="260" w:after="260" w:line="240" w:lineRule="auto"/>
        <w:jc w:val="center"/>
        <w:outlineLvl w:val="1"/>
        <w:rPr>
          <w:rFonts w:hint="eastAsia" w:ascii="Times New Roman" w:hAnsi="Times New Roman"/>
          <w:b/>
          <w:bCs/>
          <w:sz w:val="28"/>
          <w:szCs w:val="28"/>
        </w:rPr>
      </w:pPr>
    </w:p>
    <w:p w14:paraId="25768923">
      <w:pPr>
        <w:keepNext/>
        <w:keepLines/>
        <w:spacing w:before="260" w:after="260" w:line="240" w:lineRule="auto"/>
        <w:jc w:val="center"/>
        <w:outlineLvl w:val="1"/>
        <w:rPr>
          <w:rFonts w:hint="eastAsia" w:ascii="Times New Roman" w:hAnsi="Times New Roman"/>
          <w:b/>
          <w:bCs/>
          <w:sz w:val="28"/>
          <w:szCs w:val="28"/>
        </w:rPr>
      </w:pPr>
    </w:p>
    <w:p w14:paraId="7B0338A8">
      <w:pPr>
        <w:keepNext/>
        <w:keepLines/>
        <w:spacing w:before="260" w:after="260" w:line="240" w:lineRule="auto"/>
        <w:jc w:val="center"/>
        <w:outlineLvl w:val="1"/>
        <w:rPr>
          <w:rFonts w:hint="eastAsia" w:ascii="Times New Roman" w:hAnsi="Times New Roman"/>
          <w:b/>
          <w:bCs/>
          <w:sz w:val="28"/>
          <w:szCs w:val="28"/>
        </w:rPr>
      </w:pPr>
    </w:p>
    <w:p w14:paraId="00F1166D">
      <w:pPr>
        <w:keepNext/>
        <w:keepLines/>
        <w:spacing w:before="260" w:after="260" w:line="240" w:lineRule="auto"/>
        <w:jc w:val="center"/>
        <w:outlineLvl w:val="1"/>
        <w:rPr>
          <w:rFonts w:hint="eastAsia" w:ascii="Times New Roman" w:hAnsi="Times New Roman"/>
          <w:b/>
          <w:bCs/>
          <w:sz w:val="28"/>
          <w:szCs w:val="28"/>
        </w:rPr>
      </w:pPr>
    </w:p>
    <w:p w14:paraId="23BA17FF">
      <w:pPr>
        <w:keepNext/>
        <w:keepLines/>
        <w:spacing w:before="260" w:after="260" w:line="240" w:lineRule="auto"/>
        <w:jc w:val="center"/>
        <w:outlineLvl w:val="1"/>
        <w:rPr>
          <w:rFonts w:hint="eastAsia" w:ascii="Times New Roman" w:hAnsi="Times New Roman"/>
          <w:b/>
          <w:bCs/>
          <w:sz w:val="28"/>
          <w:szCs w:val="28"/>
        </w:rPr>
      </w:pPr>
    </w:p>
    <w:p w14:paraId="4CE1FFFF">
      <w:pPr>
        <w:keepNext/>
        <w:keepLines/>
        <w:spacing w:before="260" w:after="260" w:line="240" w:lineRule="auto"/>
        <w:jc w:val="both"/>
        <w:outlineLvl w:val="1"/>
        <w:rPr>
          <w:rFonts w:hint="eastAsia" w:ascii="Times New Roman" w:hAnsi="Times New Roman"/>
          <w:b/>
          <w:bCs/>
          <w:sz w:val="28"/>
          <w:szCs w:val="28"/>
        </w:rPr>
        <w:sectPr>
          <w:headerReference r:id="rId4" w:type="first"/>
          <w:headerReference r:id="rId3" w:type="default"/>
          <w:pgSz w:w="11906" w:h="16838"/>
          <w:pgMar w:top="0" w:right="170" w:bottom="0" w:left="170" w:header="567" w:footer="850" w:gutter="0"/>
          <w:pgBorders>
            <w:top w:val="none" w:sz="0" w:space="0"/>
            <w:left w:val="none" w:sz="0" w:space="0"/>
            <w:bottom w:val="none" w:sz="0" w:space="0"/>
            <w:right w:val="none" w:sz="0" w:space="0"/>
          </w:pgBorders>
          <w:cols w:space="425" w:num="1"/>
          <w:titlePg/>
          <w:docGrid w:type="lines" w:linePitch="312" w:charSpace="0"/>
        </w:sectPr>
      </w:pPr>
    </w:p>
    <w:p w14:paraId="29D5CC5B">
      <w:pPr>
        <w:keepNext/>
        <w:keepLines/>
        <w:spacing w:before="260" w:after="260" w:line="416" w:lineRule="atLeast"/>
        <w:jc w:val="center"/>
        <w:outlineLvl w:val="1"/>
        <w:rPr>
          <w:rFonts w:hint="default" w:ascii="Times New Roman" w:hAnsi="Times New Roman" w:eastAsia="宋体"/>
          <w:b/>
          <w:bCs/>
          <w:color w:val="00B0F0"/>
          <w:sz w:val="28"/>
          <w:szCs w:val="28"/>
          <w:lang w:val="en-US" w:eastAsia="zh-CN"/>
        </w:rPr>
      </w:pPr>
      <w:r>
        <w:rPr>
          <w:rFonts w:hint="eastAsia" w:ascii="微软简老宋" w:hAnsi="微软简老宋" w:eastAsia="微软简老宋" w:cs="微软简老宋"/>
          <w:b w:val="0"/>
          <w:bCs w:val="0"/>
          <w:color w:val="00B0F0"/>
          <w:sz w:val="32"/>
          <w:szCs w:val="32"/>
          <w:lang w:val="en-US" w:eastAsia="zh-CN"/>
        </w:rPr>
        <w:t>项目七  消化系统疾病</w:t>
      </w:r>
    </w:p>
    <w:tbl>
      <w:tblPr>
        <w:tblStyle w:val="10"/>
        <w:tblW w:w="10488" w:type="dxa"/>
        <w:jc w:val="center"/>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Layout w:type="fixed"/>
        <w:tblCellMar>
          <w:top w:w="0" w:type="dxa"/>
          <w:left w:w="108" w:type="dxa"/>
          <w:bottom w:w="0" w:type="dxa"/>
          <w:right w:w="108" w:type="dxa"/>
        </w:tblCellMar>
      </w:tblPr>
      <w:tblGrid>
        <w:gridCol w:w="1584"/>
        <w:gridCol w:w="7208"/>
        <w:gridCol w:w="1696"/>
      </w:tblGrid>
      <w:tr w14:paraId="3384969C">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2478157A">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课</w:t>
            </w:r>
            <w:r>
              <w:rPr>
                <w:rFonts w:hint="eastAsia" w:ascii="Times New Roman" w:hAnsi="Times New Roman"/>
                <w:b/>
                <w:sz w:val="24"/>
                <w:szCs w:val="24"/>
              </w:rPr>
              <w:t>题</w:t>
            </w:r>
          </w:p>
        </w:tc>
        <w:tc>
          <w:tcPr>
            <w:tcW w:w="8904" w:type="dxa"/>
            <w:gridSpan w:val="2"/>
            <w:tcBorders>
              <w:tl2br w:val="nil"/>
              <w:tr2bl w:val="nil"/>
            </w:tcBorders>
            <w:vAlign w:val="center"/>
          </w:tcPr>
          <w:p w14:paraId="35FA90CE">
            <w:pPr>
              <w:keepNext w:val="0"/>
              <w:keepLines w:val="0"/>
              <w:suppressLineNumbers w:val="0"/>
              <w:spacing w:before="0" w:beforeAutospacing="0" w:after="0" w:afterAutospacing="0" w:line="360" w:lineRule="auto"/>
              <w:ind w:left="0" w:right="0" w:hanging="8"/>
              <w:rPr>
                <w:rFonts w:hint="eastAsia" w:ascii="Times New Roman" w:hAnsi="Times New Roman" w:eastAsia="宋体"/>
                <w:sz w:val="24"/>
                <w:szCs w:val="24"/>
                <w:lang w:eastAsia="zh-CN"/>
              </w:rPr>
            </w:pPr>
            <w:r>
              <w:rPr>
                <w:rFonts w:hint="eastAsia" w:ascii="Times New Roman" w:hAnsi="宋体"/>
                <w:szCs w:val="20"/>
              </w:rPr>
              <w:t>消化系统疾病</w:t>
            </w:r>
          </w:p>
        </w:tc>
      </w:tr>
      <w:tr w14:paraId="38763524">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54D3FE42">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课时</w:t>
            </w:r>
          </w:p>
        </w:tc>
        <w:tc>
          <w:tcPr>
            <w:tcW w:w="8904" w:type="dxa"/>
            <w:gridSpan w:val="2"/>
            <w:tcBorders>
              <w:tl2br w:val="nil"/>
              <w:tr2bl w:val="nil"/>
            </w:tcBorders>
            <w:vAlign w:val="center"/>
          </w:tcPr>
          <w:p w14:paraId="50F2858C">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sz w:val="24"/>
                <w:szCs w:val="24"/>
                <w:lang w:val="en-US" w:eastAsia="zh-CN"/>
              </w:rPr>
              <w:t>42</w:t>
            </w:r>
            <w:r>
              <w:rPr>
                <w:rFonts w:hint="default" w:ascii="Times New Roman" w:hAnsi="宋体"/>
                <w:sz w:val="24"/>
                <w:szCs w:val="24"/>
              </w:rPr>
              <w:t>课时</w:t>
            </w:r>
            <w:r>
              <w:rPr>
                <w:rFonts w:hint="eastAsia" w:ascii="Times New Roman" w:hAnsi="宋体"/>
                <w:sz w:val="24"/>
                <w:szCs w:val="24"/>
              </w:rPr>
              <w:t>（</w:t>
            </w:r>
            <w:r>
              <w:rPr>
                <w:rFonts w:hint="eastAsia" w:ascii="Times New Roman" w:hAnsi="宋体"/>
                <w:sz w:val="24"/>
                <w:szCs w:val="24"/>
                <w:lang w:val="en-US" w:eastAsia="zh-CN"/>
              </w:rPr>
              <w:t>180</w:t>
            </w:r>
            <w:r>
              <w:rPr>
                <w:rFonts w:hint="eastAsia" w:ascii="Times New Roman" w:hAnsi="宋体"/>
                <w:sz w:val="24"/>
                <w:szCs w:val="24"/>
              </w:rPr>
              <w:t>min）。</w:t>
            </w:r>
          </w:p>
        </w:tc>
      </w:tr>
      <w:tr w14:paraId="061FC37A">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2B3F2A47">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教学目标</w:t>
            </w:r>
          </w:p>
        </w:tc>
        <w:tc>
          <w:tcPr>
            <w:tcW w:w="8904" w:type="dxa"/>
            <w:gridSpan w:val="2"/>
            <w:tcBorders>
              <w:tl2br w:val="nil"/>
              <w:tr2bl w:val="nil"/>
            </w:tcBorders>
            <w:vAlign w:val="center"/>
          </w:tcPr>
          <w:p w14:paraId="03E501A4">
            <w:pPr>
              <w:keepNext w:val="0"/>
              <w:keepLines w:val="0"/>
              <w:suppressLineNumbers w:val="0"/>
              <w:spacing w:before="0" w:beforeAutospacing="0" w:after="0" w:afterAutospacing="0" w:line="360" w:lineRule="auto"/>
              <w:ind w:left="0" w:right="0" w:hanging="8"/>
              <w:rPr>
                <w:rFonts w:hint="default"/>
                <w:b/>
                <w:color w:val="00B0F0"/>
                <w:sz w:val="24"/>
                <w:szCs w:val="24"/>
              </w:rPr>
            </w:pPr>
            <w:r>
              <w:rPr>
                <w:rFonts w:hint="default" w:hAnsi="宋体"/>
                <w:b/>
                <w:color w:val="00B0F0"/>
                <w:sz w:val="24"/>
                <w:szCs w:val="24"/>
              </w:rPr>
              <w:t>知识目标：</w:t>
            </w:r>
          </w:p>
          <w:p w14:paraId="10BF435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210" w:leftChars="100" w:right="0" w:firstLine="201" w:firstLineChars="96"/>
              <w:textAlignment w:val="auto"/>
              <w:rPr>
                <w:rFonts w:hint="eastAsia" w:ascii="Times New Roman" w:hAnsi="宋体"/>
                <w:szCs w:val="20"/>
              </w:rPr>
            </w:pPr>
            <w:r>
              <w:rPr>
                <w:rFonts w:hint="default" w:ascii="Times New Roman" w:hAnsi="宋体"/>
                <w:szCs w:val="20"/>
                <w:lang w:val="en-US" w:eastAsia="zh-CN"/>
              </w:rPr>
              <w:t xml:space="preserve">1. </w:t>
            </w:r>
            <w:r>
              <w:rPr>
                <w:rFonts w:hint="eastAsia" w:ascii="Times New Roman" w:hAnsi="宋体"/>
                <w:szCs w:val="20"/>
                <w:lang w:val="en-US" w:eastAsia="zh-CN"/>
              </w:rPr>
              <w:t xml:space="preserve">掌握常见消化系统疾病的临床表现、诊断、治疗。 </w:t>
            </w:r>
          </w:p>
          <w:p w14:paraId="04C88E2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210" w:leftChars="100" w:right="0" w:firstLine="201" w:firstLineChars="96"/>
              <w:textAlignment w:val="auto"/>
              <w:rPr>
                <w:rFonts w:hint="default" w:ascii="Times New Roman" w:hAnsi="宋体"/>
                <w:szCs w:val="20"/>
                <w:lang w:val="en-US" w:eastAsia="zh-CN"/>
              </w:rPr>
            </w:pPr>
            <w:r>
              <w:rPr>
                <w:rFonts w:hint="default" w:ascii="Times New Roman" w:hAnsi="宋体"/>
                <w:szCs w:val="20"/>
                <w:lang w:val="en-US" w:eastAsia="zh-CN"/>
              </w:rPr>
              <w:t>2. 熟悉常见消化系统疾病的病因及发病机制。</w:t>
            </w:r>
          </w:p>
          <w:p w14:paraId="5D2FD788">
            <w:pPr>
              <w:keepNext w:val="0"/>
              <w:keepLines w:val="0"/>
              <w:suppressLineNumbers w:val="0"/>
              <w:spacing w:before="0" w:beforeAutospacing="0" w:after="0" w:afterAutospacing="0" w:line="360" w:lineRule="auto"/>
              <w:ind w:left="0" w:right="0" w:hanging="8"/>
              <w:rPr>
                <w:rFonts w:hint="default"/>
                <w:b/>
                <w:color w:val="00B0F0"/>
                <w:sz w:val="24"/>
                <w:szCs w:val="24"/>
              </w:rPr>
            </w:pPr>
            <w:r>
              <w:rPr>
                <w:rFonts w:hint="eastAsia" w:hAnsi="宋体"/>
                <w:b/>
                <w:color w:val="00B0F0"/>
                <w:sz w:val="24"/>
                <w:szCs w:val="24"/>
                <w:lang w:val="en-US" w:eastAsia="zh-CN"/>
              </w:rPr>
              <w:t>能力</w:t>
            </w:r>
            <w:r>
              <w:rPr>
                <w:rFonts w:hint="default" w:hAnsi="宋体"/>
                <w:b/>
                <w:color w:val="00B0F0"/>
                <w:sz w:val="24"/>
                <w:szCs w:val="24"/>
              </w:rPr>
              <w:t>目标：</w:t>
            </w:r>
          </w:p>
          <w:p w14:paraId="02DBC7F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lang w:val="en-US" w:eastAsia="zh-CN"/>
              </w:rPr>
            </w:pPr>
            <w:r>
              <w:rPr>
                <w:rFonts w:hint="eastAsia" w:ascii="Times New Roman" w:hAnsi="宋体"/>
                <w:szCs w:val="20"/>
                <w:lang w:val="en-US" w:eastAsia="zh-CN"/>
              </w:rPr>
              <w:t xml:space="preserve">    学会消化系统常见病的诊断技能，能够做出消化系统常见病的初步诊断。</w:t>
            </w:r>
          </w:p>
          <w:p w14:paraId="64F9F6E3">
            <w:pPr>
              <w:keepNext w:val="0"/>
              <w:keepLines w:val="0"/>
              <w:suppressLineNumbers w:val="0"/>
              <w:spacing w:before="0" w:beforeAutospacing="0" w:after="0" w:afterAutospacing="0" w:line="360" w:lineRule="auto"/>
              <w:ind w:left="0" w:right="0" w:hanging="8"/>
              <w:rPr>
                <w:rFonts w:hint="default" w:ascii="Times New Roman" w:hAnsi="Times New Roman"/>
                <w:b/>
                <w:color w:val="00B0F0"/>
                <w:sz w:val="24"/>
                <w:szCs w:val="24"/>
              </w:rPr>
            </w:pPr>
            <w:r>
              <w:rPr>
                <w:rFonts w:hint="eastAsia" w:ascii="Times New Roman" w:hAnsi="Times New Roman"/>
                <w:b/>
                <w:color w:val="00B0F0"/>
                <w:sz w:val="24"/>
                <w:szCs w:val="24"/>
                <w:lang w:val="en-US" w:eastAsia="zh-CN"/>
              </w:rPr>
              <w:t>素质</w:t>
            </w:r>
            <w:r>
              <w:rPr>
                <w:rFonts w:hint="default" w:ascii="Times New Roman" w:hAnsi="Times New Roman"/>
                <w:b/>
                <w:color w:val="00B0F0"/>
                <w:sz w:val="24"/>
                <w:szCs w:val="24"/>
              </w:rPr>
              <w:t>目标</w:t>
            </w:r>
            <w:r>
              <w:rPr>
                <w:rFonts w:hint="eastAsia" w:ascii="Times New Roman" w:hAnsi="Times New Roman"/>
                <w:b/>
                <w:color w:val="00B0F0"/>
                <w:sz w:val="24"/>
                <w:szCs w:val="24"/>
              </w:rPr>
              <w:t>：</w:t>
            </w:r>
          </w:p>
          <w:p w14:paraId="30FEBBA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right="0" w:firstLine="420" w:firstLineChars="200"/>
              <w:textAlignment w:val="auto"/>
              <w:rPr>
                <w:rFonts w:hint="default" w:ascii="Times New Roman" w:hAnsi="Times New Roman"/>
                <w:sz w:val="24"/>
                <w:szCs w:val="24"/>
              </w:rPr>
            </w:pPr>
            <w:r>
              <w:rPr>
                <w:rFonts w:ascii="宋体" w:hAnsi="宋体" w:eastAsia="宋体" w:cs="宋体"/>
                <w:color w:val="auto"/>
                <w:sz w:val="21"/>
                <w:szCs w:val="21"/>
              </w:rPr>
              <w:t>通过移情训练提升心理感知能力，建立</w:t>
            </w:r>
            <w:r>
              <w:rPr>
                <w:rFonts w:hint="eastAsia" w:ascii="宋体" w:hAnsi="宋体" w:cs="宋体"/>
                <w:color w:val="auto"/>
                <w:sz w:val="21"/>
                <w:szCs w:val="21"/>
                <w:lang w:eastAsia="zh-CN"/>
              </w:rPr>
              <w:t>“</w:t>
            </w:r>
            <w:r>
              <w:rPr>
                <w:rFonts w:ascii="宋体" w:hAnsi="宋体" w:eastAsia="宋体" w:cs="宋体"/>
                <w:color w:val="auto"/>
                <w:sz w:val="21"/>
                <w:szCs w:val="21"/>
              </w:rPr>
              <w:t>理解-共情-支持</w:t>
            </w:r>
            <w:r>
              <w:rPr>
                <w:rFonts w:hint="eastAsia" w:ascii="宋体" w:hAnsi="宋体" w:cs="宋体"/>
                <w:color w:val="auto"/>
                <w:sz w:val="21"/>
                <w:szCs w:val="21"/>
                <w:lang w:eastAsia="zh-CN"/>
              </w:rPr>
              <w:t>”</w:t>
            </w:r>
            <w:r>
              <w:rPr>
                <w:rFonts w:ascii="宋体" w:hAnsi="宋体" w:eastAsia="宋体" w:cs="宋体"/>
                <w:color w:val="auto"/>
                <w:sz w:val="21"/>
                <w:szCs w:val="21"/>
              </w:rPr>
              <w:t>的医患沟通模式，强化责任意识</w:t>
            </w:r>
            <w:r>
              <w:rPr>
                <w:rFonts w:hint="eastAsia" w:ascii="宋体" w:hAnsi="宋体" w:cs="宋体"/>
                <w:color w:val="auto"/>
                <w:sz w:val="21"/>
                <w:szCs w:val="21"/>
                <w:lang w:eastAsia="zh-CN"/>
              </w:rPr>
              <w:t>、团队意识与</w:t>
            </w:r>
            <w:r>
              <w:rPr>
                <w:rFonts w:ascii="宋体" w:hAnsi="宋体" w:eastAsia="宋体" w:cs="宋体"/>
                <w:color w:val="auto"/>
                <w:sz w:val="21"/>
                <w:szCs w:val="21"/>
              </w:rPr>
              <w:t>科学精神。</w:t>
            </w:r>
          </w:p>
        </w:tc>
      </w:tr>
      <w:tr w14:paraId="32856297">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51A560BB">
            <w:pPr>
              <w:keepNext w:val="0"/>
              <w:keepLines w:val="0"/>
              <w:suppressLineNumbers w:val="0"/>
              <w:spacing w:before="0" w:beforeAutospacing="0" w:after="0" w:afterAutospacing="0" w:line="360" w:lineRule="auto"/>
              <w:ind w:left="0" w:right="0" w:hanging="8"/>
              <w:jc w:val="center"/>
              <w:rPr>
                <w:rFonts w:hint="default" w:ascii="Times New Roman" w:hAnsi="宋体"/>
                <w:b/>
                <w:sz w:val="24"/>
                <w:szCs w:val="24"/>
              </w:rPr>
            </w:pPr>
            <w:r>
              <w:rPr>
                <w:rFonts w:hint="default" w:ascii="Times New Roman" w:hAnsi="宋体"/>
                <w:b/>
                <w:sz w:val="24"/>
                <w:szCs w:val="24"/>
              </w:rPr>
              <w:t>教学重</w:t>
            </w:r>
            <w:r>
              <w:rPr>
                <w:rFonts w:hint="eastAsia" w:ascii="Times New Roman" w:hAnsi="宋体"/>
                <w:b/>
                <w:sz w:val="24"/>
                <w:szCs w:val="24"/>
              </w:rPr>
              <w:t>难</w:t>
            </w:r>
            <w:r>
              <w:rPr>
                <w:rFonts w:hint="default" w:ascii="Times New Roman" w:hAnsi="宋体"/>
                <w:b/>
                <w:sz w:val="24"/>
                <w:szCs w:val="24"/>
              </w:rPr>
              <w:t>点</w:t>
            </w:r>
          </w:p>
        </w:tc>
        <w:tc>
          <w:tcPr>
            <w:tcW w:w="8904" w:type="dxa"/>
            <w:gridSpan w:val="2"/>
            <w:tcBorders>
              <w:tl2br w:val="nil"/>
              <w:tr2bl w:val="nil"/>
            </w:tcBorders>
            <w:vAlign w:val="center"/>
          </w:tcPr>
          <w:p w14:paraId="7C5384EA">
            <w:pPr>
              <w:keepNext w:val="0"/>
              <w:keepLines w:val="0"/>
              <w:widowControl/>
              <w:suppressLineNumbers w:val="0"/>
              <w:spacing w:before="0" w:beforeAutospacing="0" w:after="0" w:afterAutospacing="0"/>
              <w:ind w:left="0" w:right="0"/>
              <w:jc w:val="left"/>
              <w:rPr>
                <w:rFonts w:hint="eastAsia" w:ascii="Times New Roman" w:hAnsi="Times New Roman" w:eastAsia="宋体"/>
                <w:szCs w:val="20"/>
                <w:lang w:eastAsia="zh-CN"/>
              </w:rPr>
            </w:pPr>
            <w:r>
              <w:rPr>
                <w:rFonts w:hint="eastAsia" w:ascii="Times New Roman" w:hAnsi="Times New Roman"/>
                <w:b/>
                <w:color w:val="00B0F0"/>
                <w:sz w:val="24"/>
                <w:szCs w:val="24"/>
              </w:rPr>
              <w:t>教学重点：</w:t>
            </w:r>
            <w:r>
              <w:rPr>
                <w:rFonts w:hint="eastAsia" w:ascii="宋体" w:hAnsi="宋体" w:cs="宋体"/>
                <w:kern w:val="0"/>
                <w:lang w:val="en-US" w:eastAsia="zh-CN"/>
              </w:rPr>
              <w:t>慢性胃炎</w:t>
            </w:r>
          </w:p>
          <w:p w14:paraId="3D51F382">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Times New Roman" w:hAnsi="Times New Roman"/>
                <w:b/>
                <w:color w:val="00B0F0"/>
                <w:sz w:val="24"/>
                <w:szCs w:val="24"/>
              </w:rPr>
              <w:t>教学难点：</w:t>
            </w:r>
            <w:r>
              <w:rPr>
                <w:rFonts w:hint="eastAsia" w:ascii="宋体" w:hAnsi="宋体" w:cs="宋体"/>
                <w:kern w:val="0"/>
                <w:lang w:val="en-US" w:eastAsia="zh-CN"/>
              </w:rPr>
              <w:t>消化系统疾病</w:t>
            </w:r>
          </w:p>
        </w:tc>
      </w:tr>
      <w:tr w14:paraId="4FD69666">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4106A65A">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教学方法</w:t>
            </w:r>
          </w:p>
        </w:tc>
        <w:tc>
          <w:tcPr>
            <w:tcW w:w="8904" w:type="dxa"/>
            <w:gridSpan w:val="2"/>
            <w:tcBorders>
              <w:tl2br w:val="nil"/>
              <w:tr2bl w:val="nil"/>
            </w:tcBorders>
            <w:vAlign w:val="center"/>
          </w:tcPr>
          <w:p w14:paraId="65CC6B2B">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讲授法、问答</w:t>
            </w:r>
            <w:bookmarkStart w:id="0" w:name="_GoBack"/>
            <w:bookmarkEnd w:id="0"/>
            <w:r>
              <w:rPr>
                <w:rFonts w:hint="eastAsia" w:ascii="Times New Roman" w:hAnsi="宋体"/>
                <w:sz w:val="24"/>
                <w:szCs w:val="24"/>
              </w:rPr>
              <w:t>法、讨论法</w:t>
            </w:r>
          </w:p>
        </w:tc>
      </w:tr>
      <w:tr w14:paraId="6248C57F">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11A4FBAE">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教学用具</w:t>
            </w:r>
          </w:p>
        </w:tc>
        <w:tc>
          <w:tcPr>
            <w:tcW w:w="8904" w:type="dxa"/>
            <w:gridSpan w:val="2"/>
            <w:tcBorders>
              <w:tl2br w:val="nil"/>
              <w:tr2bl w:val="nil"/>
            </w:tcBorders>
            <w:vAlign w:val="center"/>
          </w:tcPr>
          <w:p w14:paraId="573BEBB9">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电脑、投影仪、</w:t>
            </w:r>
            <w:r>
              <w:rPr>
                <w:rFonts w:hint="default" w:ascii="Times New Roman" w:hAnsi="宋体"/>
                <w:sz w:val="24"/>
                <w:szCs w:val="24"/>
              </w:rPr>
              <w:t>多媒体</w:t>
            </w:r>
            <w:r>
              <w:rPr>
                <w:rFonts w:hint="eastAsia" w:ascii="Times New Roman" w:hAnsi="宋体"/>
                <w:sz w:val="24"/>
                <w:szCs w:val="24"/>
              </w:rPr>
              <w:t>课件、教材</w:t>
            </w:r>
          </w:p>
        </w:tc>
      </w:tr>
      <w:tr w14:paraId="77732F88">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bottom w:val="double" w:color="4472C4" w:themeColor="accent5" w:sz="4" w:space="0"/>
              <w:tl2br w:val="nil"/>
              <w:tr2bl w:val="nil"/>
            </w:tcBorders>
            <w:shd w:val="clear" w:color="auto" w:fill="B7F1FF"/>
            <w:vAlign w:val="center"/>
          </w:tcPr>
          <w:p w14:paraId="6949DB5B">
            <w:pPr>
              <w:keepNext w:val="0"/>
              <w:keepLines w:val="0"/>
              <w:suppressLineNumbers w:val="0"/>
              <w:spacing w:before="0" w:beforeAutospacing="0" w:after="0" w:afterAutospacing="0" w:line="360" w:lineRule="auto"/>
              <w:ind w:left="0" w:right="0" w:hanging="8"/>
              <w:jc w:val="center"/>
              <w:rPr>
                <w:rFonts w:hint="default" w:ascii="Times New Roman" w:hAnsi="宋体"/>
                <w:b/>
                <w:sz w:val="24"/>
                <w:szCs w:val="24"/>
              </w:rPr>
            </w:pPr>
            <w:r>
              <w:rPr>
                <w:rFonts w:hint="default" w:ascii="Times New Roman" w:hAnsi="宋体"/>
                <w:b/>
                <w:sz w:val="24"/>
                <w:szCs w:val="24"/>
              </w:rPr>
              <w:t>教学设计</w:t>
            </w:r>
          </w:p>
        </w:tc>
        <w:tc>
          <w:tcPr>
            <w:tcW w:w="8904" w:type="dxa"/>
            <w:gridSpan w:val="2"/>
            <w:tcBorders>
              <w:bottom w:val="double" w:color="4472C4" w:themeColor="accent5" w:sz="4" w:space="0"/>
              <w:tl2br w:val="nil"/>
              <w:tr2bl w:val="nil"/>
            </w:tcBorders>
            <w:vAlign w:val="center"/>
          </w:tcPr>
          <w:p w14:paraId="6F738E6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1</w:t>
            </w:r>
            <w:r>
              <w:rPr>
                <w:rFonts w:hint="eastAsia" w:ascii="Times New Roman" w:hAnsi="宋体"/>
                <w:kern w:val="0"/>
                <w:szCs w:val="20"/>
              </w:rPr>
              <w:t>节课：</w:t>
            </w:r>
            <w:r>
              <w:rPr>
                <w:rFonts w:hint="eastAsia" w:ascii="Times New Roman" w:hAnsi="宋体"/>
                <w:szCs w:val="20"/>
                <w:lang w:eastAsia="zh-CN"/>
              </w:rPr>
              <w:t>考勤</w:t>
            </w:r>
            <w:r>
              <w:rPr>
                <w:rFonts w:hint="eastAsia" w:ascii="Times New Roman" w:hAnsi="宋体"/>
                <w:szCs w:val="20"/>
              </w:rPr>
              <w:t>（</w:t>
            </w:r>
            <w:r>
              <w:rPr>
                <w:rFonts w:hint="eastAsia" w:ascii="Times New Roman" w:hAnsi="宋体"/>
                <w:szCs w:val="20"/>
                <w:lang w:val="en-US" w:eastAsia="zh-CN"/>
              </w:rPr>
              <w:t>2</w:t>
            </w:r>
            <w:r>
              <w:rPr>
                <w:rFonts w:hint="eastAsia" w:ascii="Times New Roman" w:hAnsi="宋体"/>
                <w:szCs w:val="20"/>
              </w:rPr>
              <w:t>min）--</w:t>
            </w:r>
            <w:r>
              <w:rPr>
                <w:rFonts w:hint="eastAsia" w:ascii="Times New Roman" w:hAnsi="宋体"/>
                <w:szCs w:val="20"/>
                <w:lang w:eastAsia="zh-CN"/>
              </w:rPr>
              <w:t>知识讲解</w:t>
            </w:r>
            <w:r>
              <w:rPr>
                <w:rFonts w:hint="eastAsia" w:ascii="Times New Roman" w:hAnsi="宋体"/>
                <w:szCs w:val="20"/>
              </w:rPr>
              <w:t>（</w:t>
            </w:r>
            <w:r>
              <w:rPr>
                <w:rFonts w:hint="default" w:ascii="Times New Roman" w:hAnsi="宋体"/>
                <w:szCs w:val="20"/>
              </w:rPr>
              <w:t>40</w:t>
            </w:r>
            <w:r>
              <w:rPr>
                <w:rFonts w:hint="eastAsia" w:ascii="Times New Roman" w:hAnsi="宋体"/>
                <w:szCs w:val="20"/>
              </w:rPr>
              <w:t>min）</w:t>
            </w:r>
            <w:r>
              <w:rPr>
                <w:rFonts w:hint="eastAsia" w:ascii="Times New Roman" w:hAnsi="宋体"/>
                <w:szCs w:val="20"/>
                <w:lang w:val="en-US" w:eastAsia="zh-CN"/>
              </w:rPr>
              <w:t>--作业布置（3min）</w:t>
            </w:r>
          </w:p>
          <w:p w14:paraId="55317F0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2</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val="en-US" w:eastAsia="zh-CN"/>
              </w:rPr>
              <w:t>--作业布置（2min）</w:t>
            </w:r>
          </w:p>
          <w:p w14:paraId="431F207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Times New Roman" w:hAnsi="宋体"/>
                <w:szCs w:val="20"/>
              </w:rPr>
            </w:pPr>
            <w:r>
              <w:rPr>
                <w:rFonts w:hint="eastAsia" w:ascii="Times New Roman" w:hAnsi="宋体"/>
                <w:kern w:val="0"/>
                <w:szCs w:val="20"/>
              </w:rPr>
              <w:t>第</w:t>
            </w:r>
            <w:r>
              <w:rPr>
                <w:rFonts w:hint="default" w:ascii="Times New Roman" w:hAnsi="宋体"/>
                <w:kern w:val="0"/>
                <w:szCs w:val="20"/>
              </w:rPr>
              <w:t>3</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eastAsia="zh-CN"/>
              </w:rPr>
              <w:t>作业布置</w:t>
            </w:r>
            <w:r>
              <w:rPr>
                <w:rFonts w:hint="eastAsia" w:ascii="Times New Roman" w:hAnsi="宋体"/>
                <w:szCs w:val="20"/>
              </w:rPr>
              <w:t>（2min）</w:t>
            </w:r>
          </w:p>
          <w:p w14:paraId="799DA080">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default" w:ascii="Times New Roman" w:hAnsi="宋体"/>
                <w:szCs w:val="20"/>
              </w:rPr>
              <w:t>第</w:t>
            </w:r>
            <w:r>
              <w:rPr>
                <w:rFonts w:hint="eastAsia" w:ascii="Times New Roman" w:hAnsi="宋体"/>
                <w:szCs w:val="20"/>
                <w:lang w:val="en-US" w:eastAsia="zh-CN"/>
              </w:rPr>
              <w:t>4</w:t>
            </w:r>
            <w:r>
              <w:rPr>
                <w:rFonts w:hint="default" w:ascii="Times New Roman" w:hAnsi="宋体"/>
                <w:szCs w:val="20"/>
              </w:rPr>
              <w:t>节课：知识讲解（40min）--课堂小结（3min）--作业布置（2min）</w:t>
            </w:r>
          </w:p>
        </w:tc>
      </w:tr>
      <w:tr w14:paraId="0B7D0395">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bottom w:val="double" w:color="4472C4" w:themeColor="accent5" w:sz="4" w:space="0"/>
            </w:tcBorders>
            <w:shd w:val="clear" w:color="auto" w:fill="00B0F0"/>
            <w:vAlign w:val="center"/>
          </w:tcPr>
          <w:p w14:paraId="08947511">
            <w:pPr>
              <w:keepNext w:val="0"/>
              <w:keepLines w:val="0"/>
              <w:suppressLineNumbers w:val="0"/>
              <w:spacing w:before="0" w:beforeAutospacing="0" w:after="0" w:afterAutospacing="0" w:line="360" w:lineRule="auto"/>
              <w:ind w:left="0" w:right="0" w:hanging="8"/>
              <w:jc w:val="center"/>
              <w:rPr>
                <w:rFonts w:hint="default" w:ascii="Times New Roman" w:hAnsi="Times New Roman"/>
                <w:b/>
                <w:bCs w:val="0"/>
                <w:color w:val="FFFFFF" w:themeColor="background1"/>
                <w:sz w:val="24"/>
                <w:szCs w:val="24"/>
                <w14:textFill>
                  <w14:solidFill>
                    <w14:schemeClr w14:val="bg1"/>
                  </w14:solidFill>
                </w14:textFill>
              </w:rPr>
            </w:pPr>
            <w:r>
              <w:rPr>
                <w:rFonts w:hint="eastAsia" w:ascii="Times New Roman" w:hAnsi="Times New Roman"/>
                <w:b/>
                <w:bCs w:val="0"/>
                <w:color w:val="FFFFFF" w:themeColor="background1"/>
                <w:sz w:val="24"/>
                <w:szCs w:val="24"/>
                <w14:textFill>
                  <w14:solidFill>
                    <w14:schemeClr w14:val="bg1"/>
                  </w14:solidFill>
                </w14:textFill>
              </w:rPr>
              <w:t>教学过程</w:t>
            </w:r>
          </w:p>
        </w:tc>
        <w:tc>
          <w:tcPr>
            <w:tcW w:w="7208" w:type="dxa"/>
            <w:tcBorders>
              <w:top w:val="double" w:color="4472C4" w:themeColor="accent5" w:sz="4" w:space="0"/>
              <w:bottom w:val="double" w:color="4472C4" w:themeColor="accent5" w:sz="4" w:space="0"/>
            </w:tcBorders>
            <w:shd w:val="clear" w:color="auto" w:fill="00B0F0"/>
            <w:vAlign w:val="center"/>
          </w:tcPr>
          <w:p w14:paraId="0DCD2181">
            <w:pPr>
              <w:keepNext w:val="0"/>
              <w:keepLines w:val="0"/>
              <w:suppressLineNumbers w:val="0"/>
              <w:spacing w:before="0" w:beforeAutospacing="0" w:after="0" w:afterAutospacing="0" w:line="360" w:lineRule="auto"/>
              <w:ind w:left="0" w:right="0"/>
              <w:jc w:val="center"/>
              <w:rPr>
                <w:rFonts w:hint="default" w:ascii="Times New Roman" w:hAnsi="Times New Roman"/>
                <w:b/>
                <w:bCs w:val="0"/>
                <w:color w:val="FFFFFF" w:themeColor="background1"/>
                <w:sz w:val="24"/>
                <w:szCs w:val="24"/>
                <w14:textFill>
                  <w14:solidFill>
                    <w14:schemeClr w14:val="bg1"/>
                  </w14:solidFill>
                </w14:textFill>
              </w:rPr>
            </w:pPr>
            <w:r>
              <w:rPr>
                <w:rFonts w:hint="eastAsia" w:ascii="Times New Roman" w:hAnsi="Times New Roman"/>
                <w:b/>
                <w:bCs w:val="0"/>
                <w:color w:val="FFFFFF" w:themeColor="background1"/>
                <w:sz w:val="24"/>
                <w:szCs w:val="24"/>
                <w14:textFill>
                  <w14:solidFill>
                    <w14:schemeClr w14:val="bg1"/>
                  </w14:solidFill>
                </w14:textFill>
              </w:rPr>
              <w:t>主要教学内容及步骤</w:t>
            </w:r>
          </w:p>
        </w:tc>
        <w:tc>
          <w:tcPr>
            <w:tcW w:w="1696" w:type="dxa"/>
            <w:tcBorders>
              <w:top w:val="double" w:color="4472C4" w:themeColor="accent5" w:sz="4" w:space="0"/>
              <w:bottom w:val="double" w:color="4472C4" w:themeColor="accent5" w:sz="4" w:space="0"/>
            </w:tcBorders>
            <w:shd w:val="clear" w:color="auto" w:fill="00B0F0"/>
            <w:vAlign w:val="center"/>
          </w:tcPr>
          <w:p w14:paraId="2AB6DCBA">
            <w:pPr>
              <w:keepNext w:val="0"/>
              <w:keepLines w:val="0"/>
              <w:suppressLineNumbers w:val="0"/>
              <w:spacing w:before="0" w:beforeAutospacing="0" w:after="0" w:afterAutospacing="0" w:line="360" w:lineRule="auto"/>
              <w:ind w:left="0" w:right="0"/>
              <w:jc w:val="center"/>
              <w:rPr>
                <w:rFonts w:hint="default" w:ascii="Times New Roman" w:hAnsi="Times New Roman"/>
                <w:b/>
                <w:bCs w:val="0"/>
                <w:color w:val="FFFFFF" w:themeColor="background1"/>
                <w:sz w:val="24"/>
                <w:szCs w:val="24"/>
                <w14:textFill>
                  <w14:solidFill>
                    <w14:schemeClr w14:val="bg1"/>
                  </w14:solidFill>
                </w14:textFill>
              </w:rPr>
            </w:pPr>
            <w:r>
              <w:rPr>
                <w:rFonts w:hint="default" w:ascii="Times New Roman" w:hAnsi="Times New Roman"/>
                <w:b/>
                <w:bCs w:val="0"/>
                <w:color w:val="FFFFFF" w:themeColor="background1"/>
                <w:sz w:val="24"/>
                <w:szCs w:val="24"/>
                <w14:textFill>
                  <w14:solidFill>
                    <w14:schemeClr w14:val="bg1"/>
                  </w14:solidFill>
                </w14:textFill>
              </w:rPr>
              <w:t>设计意图</w:t>
            </w:r>
          </w:p>
        </w:tc>
      </w:tr>
      <w:tr w14:paraId="199800F5">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tl2br w:val="nil"/>
              <w:tr2bl w:val="nil"/>
            </w:tcBorders>
            <w:shd w:val="clear" w:color="auto" w:fill="B7F1FF"/>
            <w:vAlign w:val="center"/>
          </w:tcPr>
          <w:p w14:paraId="0EEAD106">
            <w:pPr>
              <w:keepNext w:val="0"/>
              <w:keepLines w:val="0"/>
              <w:suppressLineNumbers w:val="0"/>
              <w:spacing w:before="0" w:beforeAutospacing="0" w:after="0" w:afterAutospacing="0" w:line="360" w:lineRule="auto"/>
              <w:ind w:left="0" w:right="0" w:hanging="8"/>
              <w:jc w:val="center"/>
              <w:rPr>
                <w:rFonts w:hint="eastAsia" w:ascii="Times New Roman" w:hAnsi="Times New Roman"/>
                <w:b/>
                <w:sz w:val="24"/>
                <w:szCs w:val="24"/>
                <w:lang w:eastAsia="zh-CN"/>
              </w:rPr>
            </w:pPr>
            <w:r>
              <w:rPr>
                <w:rFonts w:hint="eastAsia" w:ascii="Times New Roman" w:hAnsi="Times New Roman"/>
                <w:b/>
                <w:sz w:val="24"/>
                <w:szCs w:val="24"/>
                <w:lang w:eastAsia="zh-CN"/>
              </w:rPr>
              <w:t>考勤</w:t>
            </w:r>
          </w:p>
          <w:p w14:paraId="593C4683">
            <w:pPr>
              <w:keepNext w:val="0"/>
              <w:keepLines w:val="0"/>
              <w:suppressLineNumbers w:val="0"/>
              <w:spacing w:before="0" w:beforeAutospacing="0" w:after="0" w:afterAutospacing="0" w:line="360" w:lineRule="auto"/>
              <w:ind w:left="0" w:right="0" w:hanging="8"/>
              <w:jc w:val="center"/>
              <w:rPr>
                <w:rFonts w:hint="eastAsia" w:ascii="Times New Roman" w:hAnsi="Times New Roman"/>
                <w:b/>
                <w:sz w:val="24"/>
                <w:szCs w:val="24"/>
                <w:lang w:eastAsia="zh-CN"/>
              </w:rPr>
            </w:pPr>
            <w:r>
              <w:rPr>
                <w:rFonts w:hint="eastAsia" w:ascii="Times New Roman" w:hAnsi="Times New Roman"/>
                <w:b/>
                <w:sz w:val="24"/>
                <w:szCs w:val="24"/>
                <w:lang w:eastAsia="zh-CN"/>
              </w:rPr>
              <w:t>（</w:t>
            </w:r>
            <w:r>
              <w:rPr>
                <w:rFonts w:hint="eastAsia" w:ascii="Times New Roman" w:hAnsi="Times New Roman"/>
                <w:b/>
                <w:sz w:val="24"/>
                <w:szCs w:val="24"/>
                <w:lang w:val="en-US" w:eastAsia="zh-CN"/>
              </w:rPr>
              <w:t>2min</w:t>
            </w:r>
            <w:r>
              <w:rPr>
                <w:rFonts w:hint="eastAsia" w:ascii="Times New Roman" w:hAnsi="Times New Roman"/>
                <w:b/>
                <w:sz w:val="24"/>
                <w:szCs w:val="24"/>
                <w:lang w:eastAsia="zh-CN"/>
              </w:rPr>
              <w:t>）</w:t>
            </w:r>
          </w:p>
        </w:tc>
        <w:tc>
          <w:tcPr>
            <w:tcW w:w="7208" w:type="dxa"/>
            <w:tcBorders>
              <w:top w:val="double" w:color="4472C4" w:themeColor="accent5" w:sz="4" w:space="0"/>
              <w:tl2br w:val="nil"/>
              <w:tr2bl w:val="nil"/>
            </w:tcBorders>
            <w:vAlign w:val="center"/>
          </w:tcPr>
          <w:p w14:paraId="7F84D9A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 w:val="24"/>
                <w:szCs w:val="24"/>
              </w:rPr>
            </w:pPr>
            <w:r>
              <w:rPr>
                <w:rFonts w:hint="eastAsia" w:ascii="Times New Roman" w:hAnsi="Times New Roman"/>
                <w:color w:val="C00000"/>
                <w:sz w:val="24"/>
                <w:szCs w:val="24"/>
              </w:rPr>
              <w:t>■</w:t>
            </w:r>
            <w:r>
              <w:rPr>
                <w:rFonts w:hint="eastAsia" w:ascii="Times New Roman" w:hAnsi="Times New Roman"/>
                <w:color w:val="C00000"/>
                <w:sz w:val="24"/>
                <w:szCs w:val="24"/>
                <w:lang w:eastAsia="zh-CN"/>
              </w:rPr>
              <w:t>【教师】</w:t>
            </w:r>
            <w:r>
              <w:rPr>
                <w:rFonts w:hint="eastAsia" w:ascii="Times New Roman" w:hAnsi="Times New Roman"/>
                <w:color w:val="C00000"/>
                <w:sz w:val="24"/>
                <w:szCs w:val="24"/>
              </w:rPr>
              <w:t>清点上课人数，记录好考勤</w:t>
            </w:r>
          </w:p>
          <w:p w14:paraId="5FC6E9C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 w:val="24"/>
                <w:szCs w:val="24"/>
              </w:rPr>
            </w:pPr>
            <w:r>
              <w:rPr>
                <w:rFonts w:hint="eastAsia" w:ascii="Times New Roman" w:hAnsi="Times New Roman"/>
                <w:color w:val="548235" w:themeColor="accent6" w:themeShade="BF"/>
                <w:sz w:val="24"/>
                <w:szCs w:val="24"/>
              </w:rPr>
              <w:t>■</w:t>
            </w:r>
            <w:r>
              <w:rPr>
                <w:rFonts w:hint="eastAsia" w:ascii="Times New Roman" w:hAnsi="Times New Roman"/>
                <w:color w:val="548235" w:themeColor="accent6" w:themeShade="BF"/>
                <w:sz w:val="24"/>
                <w:szCs w:val="24"/>
                <w:lang w:eastAsia="zh-CN"/>
              </w:rPr>
              <w:t>【学生】</w:t>
            </w:r>
            <w:r>
              <w:rPr>
                <w:rFonts w:hint="eastAsia" w:ascii="Times New Roman" w:hAnsi="Times New Roman"/>
                <w:color w:val="548235" w:themeColor="accent6" w:themeShade="BF"/>
                <w:sz w:val="24"/>
                <w:szCs w:val="24"/>
              </w:rPr>
              <w:t>班干部报请假人员及原因</w:t>
            </w:r>
          </w:p>
        </w:tc>
        <w:tc>
          <w:tcPr>
            <w:tcW w:w="1696" w:type="dxa"/>
            <w:tcBorders>
              <w:top w:val="double" w:color="4472C4" w:themeColor="accent5" w:sz="4" w:space="0"/>
              <w:tl2br w:val="nil"/>
              <w:tr2bl w:val="nil"/>
            </w:tcBorders>
            <w:vAlign w:val="center"/>
          </w:tcPr>
          <w:p w14:paraId="47E834E0">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r>
              <w:rPr>
                <w:rFonts w:hint="eastAsia" w:ascii="Times New Roman" w:hAnsi="Times New Roman"/>
                <w:szCs w:val="20"/>
              </w:rPr>
              <w:t>培养学生的组织纪律性,掌握学生的出勤情况</w:t>
            </w:r>
          </w:p>
        </w:tc>
      </w:tr>
      <w:tr w14:paraId="07096F75">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4D58D315">
            <w:pPr>
              <w:keepNext w:val="0"/>
              <w:keepLines w:val="0"/>
              <w:suppressLineNumbers w:val="0"/>
              <w:spacing w:before="0" w:beforeAutospacing="0" w:after="0" w:afterAutospacing="0" w:line="360" w:lineRule="auto"/>
              <w:ind w:left="0" w:right="0"/>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4F89A0A5">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Times New Roman"/>
                <w:sz w:val="24"/>
                <w:szCs w:val="24"/>
              </w:rPr>
              <w:t>（</w:t>
            </w:r>
            <w:r>
              <w:rPr>
                <w:rFonts w:hint="eastAsia" w:ascii="Times New Roman" w:hAnsi="Times New Roman"/>
                <w:sz w:val="24"/>
                <w:szCs w:val="24"/>
                <w:lang w:val="en-US" w:eastAsia="zh-CN"/>
              </w:rPr>
              <w:t>40</w:t>
            </w:r>
            <w:r>
              <w:rPr>
                <w:rFonts w:hint="eastAsia" w:ascii="Times New Roman" w:hAnsi="Times New Roman"/>
                <w:sz w:val="24"/>
                <w:szCs w:val="24"/>
              </w:rPr>
              <w:t>min</w:t>
            </w:r>
            <w:r>
              <w:rPr>
                <w:rFonts w:hint="default" w:ascii="Times New Roman" w:hAnsi="Times New Roman"/>
                <w:sz w:val="24"/>
                <w:szCs w:val="24"/>
              </w:rPr>
              <w:t>）</w:t>
            </w:r>
          </w:p>
        </w:tc>
        <w:tc>
          <w:tcPr>
            <w:tcW w:w="7208" w:type="dxa"/>
            <w:tcBorders>
              <w:tl2br w:val="nil"/>
              <w:tr2bl w:val="nil"/>
            </w:tcBorders>
            <w:vAlign w:val="center"/>
          </w:tcPr>
          <w:p w14:paraId="2E84E4D0">
            <w:pPr>
              <w:keepNext w:val="0"/>
              <w:keepLines w:val="0"/>
              <w:widowControl/>
              <w:suppressLineNumbers w:val="0"/>
              <w:spacing w:before="0" w:beforeAutospacing="0" w:after="0" w:afterAutospacing="0"/>
              <w:ind w:left="0" w:right="0"/>
              <w:jc w:val="left"/>
              <w:rPr>
                <w:rFonts w:hint="eastAsia" w:ascii="Times New Roman" w:hAnsi="Times New Roman"/>
                <w:b/>
                <w:color w:val="C00000"/>
                <w:lang w:eastAsia="zh-CN"/>
              </w:rPr>
            </w:pPr>
            <w:r>
              <w:rPr>
                <w:rFonts w:hint="eastAsia" w:ascii="Times New Roman" w:hAnsi="Times New Roman"/>
                <w:b/>
                <w:color w:val="C00000"/>
              </w:rPr>
              <w:t>【教师】</w:t>
            </w:r>
            <w:r>
              <w:rPr>
                <w:rFonts w:hint="eastAsia" w:ascii="Times New Roman" w:hAnsi="Times New Roman"/>
                <w:b w:val="0"/>
                <w:bCs/>
                <w:color w:val="C00000"/>
                <w:lang w:val="en-US" w:eastAsia="zh-CN"/>
              </w:rPr>
              <w:t>展示慢性胃炎</w:t>
            </w:r>
          </w:p>
          <w:p w14:paraId="4B2F1740">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慢性胃炎是由各种原因引起的胃黏膜慢性炎症，是消化系统的常见病和多发病。多数是以胃窦为主的全胃炎，后期以胃黏膜固有腺体萎缩和肠腺化生为主要病理特点。根据病变部位和病理组织学改变，慢性胃炎分为浅表性、萎缩性和特殊类型３类。 </w:t>
            </w:r>
          </w:p>
          <w:p w14:paraId="1E7882C3">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一、病因和发病机制</w:t>
            </w:r>
            <w:r>
              <w:rPr>
                <w:rFonts w:hint="default" w:ascii="Times New Roman" w:hAnsi="宋体"/>
                <w:bCs/>
                <w:szCs w:val="20"/>
                <w:lang w:val="en-US" w:eastAsia="zh-CN"/>
              </w:rPr>
              <w:t xml:space="preserve"> </w:t>
            </w:r>
          </w:p>
          <w:p w14:paraId="16EB9101">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幽门螺杆菌（HP）感染是慢性胃炎的主要病因，它通过释放尿素酶分解尿素产生NH3，分泌空泡毒素 A 等物质引起细胞损害，导致炎症反应。其他因素，如刺激性食物，十二指肠液的反流以及非甾体抗炎药（NASIDs），如阿司匹林、吲哚美辛，某些抗肿瘤药物等与幽门螺旋杆菌协同作用引起或加重胃黏膜炎症。 </w:t>
            </w:r>
          </w:p>
          <w:p w14:paraId="65BCE708">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二、临床表现 </w:t>
            </w:r>
          </w:p>
          <w:p w14:paraId="21DF0035">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 xml:space="preserve">1. 慢性胃炎 </w:t>
            </w:r>
            <w:r>
              <w:rPr>
                <w:rFonts w:hint="default" w:ascii="Times New Roman" w:hAnsi="宋体"/>
                <w:bCs/>
                <w:szCs w:val="20"/>
                <w:lang w:val="en-US" w:eastAsia="zh-CN"/>
              </w:rPr>
              <w:t xml:space="preserve">进展缓慢，经常反复发作，病程迁延，大多 无症状或症状轻，有症状者表现为上腹痛或不适、上腹部饱胀、反酸、嗳气、烧灼感恶心呕吐等。少数病例出现较重的症状如上消化道少量出血、厌食、消瘦，酷似胃癌的表现。 </w:t>
            </w:r>
          </w:p>
          <w:p w14:paraId="21862706">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2. A 型胃炎</w:t>
            </w:r>
            <w:r>
              <w:rPr>
                <w:rFonts w:hint="default" w:ascii="Times New Roman" w:hAnsi="宋体"/>
                <w:bCs/>
                <w:szCs w:val="20"/>
                <w:lang w:val="en-US" w:eastAsia="zh-CN"/>
              </w:rPr>
              <w:t xml:space="preserve"> 与自身免疫因素有关，可有明显厌食、消瘦，伴有贫血、舌炎等。 </w:t>
            </w:r>
          </w:p>
          <w:p w14:paraId="79417692">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三、辅助检查</w:t>
            </w:r>
            <w:r>
              <w:rPr>
                <w:rFonts w:hint="default" w:ascii="Times New Roman" w:hAnsi="宋体"/>
                <w:bCs/>
                <w:szCs w:val="20"/>
                <w:lang w:val="en-US" w:eastAsia="zh-CN"/>
              </w:rPr>
              <w:t xml:space="preserve"> </w:t>
            </w:r>
          </w:p>
          <w:p w14:paraId="3F83D5DB">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 xml:space="preserve">1. 胃镜及活组织检查 </w:t>
            </w:r>
            <w:r>
              <w:rPr>
                <w:rFonts w:hint="default" w:ascii="Times New Roman" w:hAnsi="宋体"/>
                <w:bCs/>
                <w:szCs w:val="20"/>
                <w:lang w:val="en-US" w:eastAsia="zh-CN"/>
              </w:rPr>
              <w:t>是确诊慢性胃炎的首选检测方法。浅表性：黏膜红斑（点状、条索状），黏膜粗糙不平、出血点、红斑；糜烂性：黏膜病变、顶部脐样糜烂（</w:t>
            </w:r>
            <w:r>
              <w:rPr>
                <w:rFonts w:hint="eastAsia" w:ascii="Times New Roman" w:hAnsi="宋体"/>
                <w:bCs/>
                <w:szCs w:val="20"/>
                <w:lang w:val="en-US" w:eastAsia="zh-CN"/>
              </w:rPr>
              <w:t xml:space="preserve">＜ </w:t>
            </w:r>
            <w:r>
              <w:rPr>
                <w:rFonts w:hint="default" w:ascii="Times New Roman" w:hAnsi="宋体"/>
                <w:bCs/>
                <w:szCs w:val="20"/>
                <w:lang w:val="en-US" w:eastAsia="zh-CN"/>
              </w:rPr>
              <w:t xml:space="preserve">1cm），多发、呈半球状、条索状。萎缩性：黏膜呈颗粒状，血管显露，色泽灰暗，皱襞细小。 </w:t>
            </w:r>
          </w:p>
          <w:p w14:paraId="17FB345C">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2. HP 检测</w:t>
            </w:r>
            <w:r>
              <w:rPr>
                <w:rFonts w:hint="default" w:ascii="Times New Roman" w:hAnsi="宋体"/>
                <w:bCs/>
                <w:szCs w:val="20"/>
                <w:lang w:val="en-US" w:eastAsia="zh-CN"/>
              </w:rPr>
              <w:t xml:space="preserve"> 在我国有 50% ～ 80% 患者在胃黏膜中可找到 HP。证实有 HP 感染（组织学、尿素酶、细菌培养、尤以 13C- 尿素呼气试验为金标准）。 </w:t>
            </w:r>
          </w:p>
          <w:p w14:paraId="201B6234">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 xml:space="preserve">3. 血清学检查 </w:t>
            </w:r>
            <w:r>
              <w:rPr>
                <w:rFonts w:hint="default" w:ascii="Times New Roman" w:hAnsi="宋体"/>
                <w:bCs/>
                <w:szCs w:val="20"/>
                <w:lang w:val="en-US" w:eastAsia="zh-CN"/>
              </w:rPr>
              <w:t xml:space="preserve">自身免疫性胃炎时，抗内因子抗体和抗壁细胞抗体可阳性，血清促胃泌素水平明显升高。 </w:t>
            </w:r>
          </w:p>
          <w:p w14:paraId="2B4AC328">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4. 胃液分析</w:t>
            </w:r>
            <w:r>
              <w:rPr>
                <w:rFonts w:hint="default" w:ascii="Times New Roman" w:hAnsi="宋体"/>
                <w:bCs/>
                <w:szCs w:val="20"/>
                <w:lang w:val="en-US" w:eastAsia="zh-CN"/>
              </w:rPr>
              <w:t xml:space="preserve"> A 型胃炎胃酸显著减少 ，B 型胃炎不影响胃酸分泌。 </w:t>
            </w:r>
          </w:p>
          <w:p w14:paraId="63201825">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5. X 线钡餐造影检查</w:t>
            </w:r>
            <w:r>
              <w:rPr>
                <w:rFonts w:hint="default" w:ascii="Times New Roman" w:hAnsi="宋体"/>
                <w:bCs/>
                <w:szCs w:val="20"/>
                <w:lang w:val="en-US" w:eastAsia="zh-CN"/>
              </w:rPr>
              <w:t xml:space="preserve"> 对慢性胃炎诊断价值有限，但可发现胃窦潴留、胃张力减退、十二指肠反流等功能性改变，有助于治疗措施的选择。 </w:t>
            </w:r>
          </w:p>
          <w:p w14:paraId="2ECD8CD2">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四、诊断 </w:t>
            </w:r>
          </w:p>
          <w:p w14:paraId="6BE71725">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根据有无消化不良症状和严重程度，找出可能的病因或诱因。通过胃镜检查及胃黏膜活组织检查确诊。</w:t>
            </w:r>
          </w:p>
          <w:p w14:paraId="0C5A3EB0">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eastAsia" w:ascii="Times New Roman" w:hAnsi="宋体"/>
                <w:b/>
                <w:bCs w:val="0"/>
                <w:szCs w:val="20"/>
                <w:lang w:val="en-US" w:eastAsia="zh-CN"/>
              </w:rPr>
              <w:t xml:space="preserve"> </w:t>
            </w:r>
            <w:r>
              <w:rPr>
                <w:rFonts w:hint="default" w:ascii="Times New Roman" w:hAnsi="宋体"/>
                <w:b/>
                <w:bCs w:val="0"/>
                <w:szCs w:val="20"/>
                <w:lang w:val="en-US" w:eastAsia="zh-CN"/>
              </w:rPr>
              <w:t xml:space="preserve">五、治疗 </w:t>
            </w:r>
          </w:p>
          <w:p w14:paraId="1EC11A84">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（一）治疗原则 </w:t>
            </w:r>
          </w:p>
          <w:p w14:paraId="65830BBD">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清除或削弱攻击因子 HP、胃酸、胆汁、NASIDs，增强黏膜防御能力，对症处理，提高生活质量，预防癌变。 </w:t>
            </w:r>
          </w:p>
          <w:p w14:paraId="771D779C">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（二）一般治疗 </w:t>
            </w:r>
          </w:p>
          <w:p w14:paraId="347FA3CA">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注意饮食卫生，纠正不良饮食习惯，宜少食多餐，定时进食、细嚼慢咽。避免进食粗糙、辛辣、过冷、过热食物。餐后切勿做重体力活动，多食蔬菜、水果，少食或不食腌制、熏烤食物。 </w:t>
            </w:r>
          </w:p>
          <w:p w14:paraId="36A24A34">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（三）用药治疗 </w:t>
            </w:r>
          </w:p>
          <w:p w14:paraId="7CAF3537">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1. 根除幽门螺旋杆菌的治疗方案</w:t>
            </w:r>
            <w:r>
              <w:rPr>
                <w:rFonts w:hint="default" w:ascii="Times New Roman" w:hAnsi="宋体"/>
                <w:bCs/>
                <w:szCs w:val="20"/>
                <w:lang w:val="en-US" w:eastAsia="zh-CN"/>
              </w:rPr>
              <w:t xml:space="preserve"> 常用的联合方案有：1 种质子泵抑制药 （PPI）+2 种抗生素或 1 种铋剂 +2 种抗生素，疗程 7 ～ 14 天。抗生素包括阿莫西林、克拉霉素、甲硝唑、替硝唑、四环素等，PPI 包括奥美拉唑、泮托拉唑、兰索拉唑、埃索美拉唑等，铋剂包括三钾二枸橼酸铋、胶体果胶铋、次碳酸铋等。 </w:t>
            </w:r>
          </w:p>
          <w:p w14:paraId="2288CC73">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2. 增强胃黏膜防御能力</w:t>
            </w:r>
            <w:r>
              <w:rPr>
                <w:rFonts w:hint="default" w:ascii="Times New Roman" w:hAnsi="宋体"/>
                <w:bCs/>
                <w:szCs w:val="20"/>
                <w:lang w:val="en-US" w:eastAsia="zh-CN"/>
              </w:rPr>
              <w:t xml:space="preserve"> 适用于黏膜糜烂、出血或症状明显者。可用药物包括胶体铋、铝碳酸制剂、硫糖铝等。 </w:t>
            </w:r>
          </w:p>
          <w:p w14:paraId="36224084">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 xml:space="preserve">3. 胃动力促进药 </w:t>
            </w:r>
            <w:r>
              <w:rPr>
                <w:rFonts w:hint="default" w:ascii="Times New Roman" w:hAnsi="宋体"/>
                <w:bCs/>
                <w:szCs w:val="20"/>
                <w:lang w:val="en-US" w:eastAsia="zh-CN"/>
              </w:rPr>
              <w:t xml:space="preserve">上腹饱胀、早饱等症状为主者，可用促进胃平滑肌蠕动药，如多潘立酮（吗丁啉）。 </w:t>
            </w:r>
          </w:p>
          <w:p w14:paraId="1C3EFBF2">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（四）其他治疗 </w:t>
            </w:r>
          </w:p>
          <w:p w14:paraId="61C77FCA">
            <w:pPr>
              <w:keepNext w:val="0"/>
              <w:keepLines w:val="0"/>
              <w:widowControl/>
              <w:suppressLineNumbers w:val="0"/>
              <w:spacing w:before="0" w:beforeAutospacing="0" w:after="0" w:afterAutospacing="0"/>
              <w:ind w:left="0" w:right="0" w:firstLine="420" w:firstLineChars="200"/>
              <w:jc w:val="left"/>
              <w:rPr>
                <w:rFonts w:hint="eastAsia" w:ascii="宋体" w:hAnsi="宋体" w:eastAsia="宋体" w:cs="宋体"/>
                <w:b/>
                <w:bCs w:val="0"/>
                <w:color w:val="000000"/>
                <w:kern w:val="2"/>
                <w:sz w:val="21"/>
                <w:szCs w:val="21"/>
                <w:lang w:val="en-US" w:eastAsia="zh-CN" w:bidi="ar"/>
              </w:rPr>
            </w:pPr>
            <w:r>
              <w:rPr>
                <w:rFonts w:hint="default" w:ascii="Times New Roman" w:hAnsi="宋体"/>
                <w:bCs/>
                <w:szCs w:val="20"/>
                <w:lang w:val="en-US" w:eastAsia="zh-CN"/>
              </w:rPr>
              <w:t>解除痉挛，缓解疼痛，禁烟限酒，纠正不良饮食习惯，停用损伤胃黏膜的药物，理疗，热敷；针灸内关、合谷穴、足三里穴位。恶性贫血，注射维生素 B12；重度不典型增生，手术治疗；自身免疫性胃炎目前无特异治疗，有恶性贫血者可注射维生素 B12 可纠正。</w:t>
            </w:r>
          </w:p>
          <w:p w14:paraId="750F7021">
            <w:pPr>
              <w:keepNext w:val="0"/>
              <w:keepLines w:val="0"/>
              <w:widowControl w:val="0"/>
              <w:suppressLineNumbers w:val="0"/>
              <w:autoSpaceDE w:val="0"/>
              <w:autoSpaceDN/>
              <w:spacing w:before="0" w:beforeAutospacing="0" w:after="0" w:afterAutospacing="0" w:line="360" w:lineRule="auto"/>
              <w:ind w:left="0" w:right="0"/>
              <w:jc w:val="left"/>
              <w:rPr>
                <w:rFonts w:hint="default" w:ascii="Times New Roman" w:hAnsi="Times New Roman"/>
                <w:b/>
                <w:sz w:val="24"/>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696" w:type="dxa"/>
            <w:tcBorders>
              <w:tl2br w:val="nil"/>
              <w:tr2bl w:val="nil"/>
            </w:tcBorders>
            <w:vAlign w:val="center"/>
          </w:tcPr>
          <w:p w14:paraId="2B478046">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b/>
                <w:szCs w:val="24"/>
                <w:lang w:eastAsia="zh-CN"/>
              </w:rPr>
              <w:t>展示文章</w:t>
            </w:r>
            <w:r>
              <w:rPr>
                <w:rFonts w:hint="eastAsia" w:ascii="Times New Roman" w:hAnsi="Times New Roman"/>
                <w:b/>
                <w:szCs w:val="24"/>
              </w:rPr>
              <w:t>，</w:t>
            </w:r>
            <w:r>
              <w:rPr>
                <w:rFonts w:hint="eastAsia" w:ascii="Times New Roman" w:hAnsi="Times New Roman"/>
                <w:b/>
                <w:szCs w:val="24"/>
                <w:lang w:eastAsia="zh-CN"/>
              </w:rPr>
              <w:t>让学生更加仔细的阅读，从而</w:t>
            </w:r>
            <w:r>
              <w:rPr>
                <w:rFonts w:hint="eastAsia" w:ascii="Times New Roman" w:hAnsi="Times New Roman"/>
                <w:b/>
                <w:szCs w:val="24"/>
              </w:rPr>
              <w:t>激发学生的学习欲望。</w:t>
            </w:r>
          </w:p>
        </w:tc>
      </w:tr>
      <w:tr w14:paraId="392EECB6">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6F8BB64B">
            <w:pPr>
              <w:keepNext w:val="0"/>
              <w:keepLines w:val="0"/>
              <w:suppressLineNumbers w:val="0"/>
              <w:spacing w:before="0" w:beforeAutospacing="0" w:after="0" w:afterAutospacing="0" w:line="360" w:lineRule="auto"/>
              <w:ind w:left="0" w:right="0" w:hanging="8"/>
              <w:jc w:val="center"/>
              <w:rPr>
                <w:rFonts w:hint="default" w:ascii="Times New Roman" w:hAnsi="Times New Roman"/>
                <w:sz w:val="24"/>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 w:val="24"/>
                <w:szCs w:val="24"/>
              </w:rPr>
              <w:t>（</w:t>
            </w:r>
            <w:r>
              <w:rPr>
                <w:rFonts w:hint="eastAsia" w:ascii="Times New Roman" w:hAnsi="Times New Roman"/>
                <w:b w:val="0"/>
                <w:bCs w:val="0"/>
                <w:sz w:val="24"/>
                <w:szCs w:val="24"/>
                <w:lang w:val="en-US" w:eastAsia="zh-CN"/>
              </w:rPr>
              <w:t>3</w:t>
            </w:r>
            <w:r>
              <w:rPr>
                <w:rFonts w:hint="eastAsia" w:ascii="Times New Roman" w:hAnsi="Times New Roman"/>
                <w:b w:val="0"/>
                <w:bCs w:val="0"/>
                <w:sz w:val="24"/>
                <w:szCs w:val="24"/>
              </w:rPr>
              <w:t>min）</w:t>
            </w:r>
          </w:p>
        </w:tc>
        <w:tc>
          <w:tcPr>
            <w:tcW w:w="7208" w:type="dxa"/>
            <w:tcBorders>
              <w:tl2br w:val="nil"/>
              <w:tr2bl w:val="nil"/>
            </w:tcBorders>
            <w:vAlign w:val="center"/>
          </w:tcPr>
          <w:p w14:paraId="51482DA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textAlignment w:val="auto"/>
              <w:rPr>
                <w:rFonts w:hint="eastAsia" w:ascii="宋体" w:hAnsi="宋体" w:eastAsia="宋体" w:cs="宋体"/>
                <w:b w:val="0"/>
                <w:bCs/>
                <w:color w:val="C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698CDD8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textAlignment w:val="auto"/>
              <w:rPr>
                <w:rFonts w:hint="eastAsia" w:hAnsi="宋体" w:eastAsia="宋体"/>
                <w:bCs/>
                <w:sz w:val="24"/>
                <w:szCs w:val="24"/>
                <w:lang w:eastAsia="zh-CN"/>
              </w:rPr>
            </w:pPr>
            <w:r>
              <w:rPr>
                <w:rFonts w:hint="eastAsia" w:ascii="Times New Roman" w:hAnsi="宋体"/>
                <w:b/>
                <w:bCs w:val="0"/>
                <w:szCs w:val="20"/>
                <w:lang w:val="en-US" w:eastAsia="zh-CN"/>
              </w:rPr>
              <w:t>简述</w:t>
            </w:r>
            <w:r>
              <w:rPr>
                <w:rFonts w:hint="default" w:ascii="Times New Roman" w:hAnsi="宋体"/>
                <w:b/>
                <w:bCs w:val="0"/>
                <w:szCs w:val="20"/>
                <w:lang w:val="en-US" w:eastAsia="zh-CN"/>
              </w:rPr>
              <w:t>病因和发病机制</w:t>
            </w:r>
            <w:r>
              <w:rPr>
                <w:rFonts w:hint="eastAsia" w:ascii="Times New Roman" w:hAnsi="宋体"/>
                <w:b/>
                <w:bCs w:val="0"/>
                <w:szCs w:val="20"/>
                <w:lang w:val="en-US" w:eastAsia="zh-CN"/>
              </w:rPr>
              <w:t>。</w:t>
            </w:r>
          </w:p>
        </w:tc>
        <w:tc>
          <w:tcPr>
            <w:tcW w:w="1696" w:type="dxa"/>
            <w:tcBorders>
              <w:tl2br w:val="nil"/>
              <w:tr2bl w:val="nil"/>
            </w:tcBorders>
            <w:vAlign w:val="center"/>
          </w:tcPr>
          <w:p w14:paraId="74A4388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b/>
                <w:sz w:val="24"/>
                <w:szCs w:val="24"/>
              </w:rPr>
            </w:pPr>
            <w:r>
              <w:rPr>
                <w:rFonts w:hint="eastAsia" w:ascii="Times New Roman" w:hAnsi="Times New Roman"/>
                <w:b w:val="0"/>
                <w:bCs/>
                <w:szCs w:val="24"/>
              </w:rPr>
              <w:t>通过课后练习，使学生巩固所学新知识</w:t>
            </w:r>
          </w:p>
        </w:tc>
      </w:tr>
      <w:tr w14:paraId="28AD4BE0">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6661651D">
            <w:pPr>
              <w:keepNext w:val="0"/>
              <w:keepLines w:val="0"/>
              <w:suppressLineNumbers w:val="0"/>
              <w:spacing w:before="0" w:beforeAutospacing="0" w:after="0" w:afterAutospacing="0" w:line="360" w:lineRule="auto"/>
              <w:ind w:left="0" w:right="0"/>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79977915">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Times New Roman"/>
                <w:sz w:val="24"/>
                <w:szCs w:val="24"/>
              </w:rPr>
              <w:t>（40</w:t>
            </w:r>
            <w:r>
              <w:rPr>
                <w:rFonts w:hint="eastAsia" w:ascii="Times New Roman" w:hAnsi="Times New Roman"/>
                <w:sz w:val="24"/>
                <w:szCs w:val="24"/>
              </w:rPr>
              <w:t>min）</w:t>
            </w:r>
          </w:p>
        </w:tc>
        <w:tc>
          <w:tcPr>
            <w:tcW w:w="7208" w:type="dxa"/>
            <w:tcBorders>
              <w:tl2br w:val="nil"/>
              <w:tr2bl w:val="nil"/>
            </w:tcBorders>
            <w:vAlign w:val="center"/>
          </w:tcPr>
          <w:p w14:paraId="1778015A">
            <w:pPr>
              <w:keepNext w:val="0"/>
              <w:keepLines w:val="0"/>
              <w:widowControl/>
              <w:suppressLineNumbers w:val="0"/>
              <w:spacing w:before="0" w:beforeAutospacing="0" w:after="0" w:afterAutospacing="0"/>
              <w:ind w:left="0" w:right="0"/>
              <w:jc w:val="left"/>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展示消化性溃疡</w:t>
            </w:r>
          </w:p>
          <w:p w14:paraId="00833973">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消化性溃疡（peptic ulcer，PU）是指胃肠道黏膜被自身消化而引起的溃疡，主要发生在胃、十二指肠、胃 - 空肠吻合口附近，其中胃溃疡（gastric ulcer，GU）和十二指肠溃疡（duodenal ulcer ，DU）最常见，因溃疡形成与胃酸和胃蛋白酶的消化作用有关，故称消化性溃疡。消化性溃疡是一种常见病，好发于季节为秋冬和冬春之交。全球约有10% 的人一生中患过此病，可发生在任何年龄，男性多于女性，十二指肠溃疡（DU）患者约是胃溃疡（GU）患者的 3 倍。DU 好发于青壮年，GU 好发于中老年。 </w:t>
            </w:r>
          </w:p>
          <w:p w14:paraId="373E720F">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一、病因和发病机制</w:t>
            </w:r>
            <w:r>
              <w:rPr>
                <w:rFonts w:hint="default" w:ascii="Times New Roman" w:hAnsi="宋体"/>
                <w:bCs/>
                <w:szCs w:val="20"/>
                <w:lang w:val="en-US" w:eastAsia="zh-CN"/>
              </w:rPr>
              <w:t xml:space="preserve"> </w:t>
            </w:r>
          </w:p>
          <w:p w14:paraId="073E3A94">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消化性溃疡的发病机制是损伤黏膜的侵袭作用与黏膜的防御能力间失衡，胃酸对胃黏膜产生自身消化。损伤黏膜的侵袭力有胃酸 / 胃蛋白酶、微生物、胆盐、胰酶、药物、乙醇等。黏膜防御能力有黏膜屏障、黏液 -HCO3 盐屏障、黏膜血流量、细胞更新、前列腺素和表皮生长因子。消化性溃疡相关的病因如下。 </w:t>
            </w:r>
          </w:p>
          <w:p w14:paraId="27D55C17">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 xml:space="preserve">1. 幽门螺杆菌（HP）感染 </w:t>
            </w:r>
            <w:r>
              <w:rPr>
                <w:rFonts w:hint="default" w:ascii="Times New Roman" w:hAnsi="宋体"/>
                <w:bCs/>
                <w:szCs w:val="20"/>
                <w:lang w:val="en-US" w:eastAsia="zh-CN"/>
              </w:rPr>
              <w:t xml:space="preserve">是消化性溃疡的主要原因。消化性溃疡的患者 HP 感染率高，十二指肠溃疡（DU）患者 HP 的感染率是 90% ～ 100%，胃溃疡（GU）患者 HP的感染率为 80% ～ 90%；HP 感染高的人群消化性溃疡的患病率也较高。 </w:t>
            </w:r>
          </w:p>
          <w:p w14:paraId="5F04367B">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2. 药物</w:t>
            </w:r>
            <w:r>
              <w:rPr>
                <w:rFonts w:hint="default" w:ascii="Times New Roman" w:hAnsi="宋体"/>
                <w:bCs/>
                <w:szCs w:val="20"/>
                <w:lang w:val="en-US" w:eastAsia="zh-CN"/>
              </w:rPr>
              <w:t xml:space="preserve"> 长期服用非甾体类抗炎药（NSAIDs、糖皮质激素、氯吡格雷、化疗药物等患者可以发生溃疡。 </w:t>
            </w:r>
          </w:p>
          <w:p w14:paraId="3ACB3801">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其他因素 年龄、吸烟、遗传、应激和心理因素、胃十二指肠运动异常等因素有关。</w:t>
            </w:r>
          </w:p>
          <w:p w14:paraId="445E9AAD">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二、临床表现</w:t>
            </w:r>
            <w:r>
              <w:rPr>
                <w:rFonts w:hint="default" w:ascii="Times New Roman" w:hAnsi="宋体"/>
                <w:bCs/>
                <w:szCs w:val="20"/>
                <w:lang w:val="en-US" w:eastAsia="zh-CN"/>
              </w:rPr>
              <w:t xml:space="preserve"> </w:t>
            </w:r>
          </w:p>
          <w:p w14:paraId="4849100A">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本部分患者可无症状，部分以出血、穿孔为首发症状。典型的消化性溃疡具有慢性过程、周期性发作、节律性疼痛的特点。 </w:t>
            </w:r>
          </w:p>
          <w:p w14:paraId="1B6D1367">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（一）症状 </w:t>
            </w:r>
          </w:p>
          <w:p w14:paraId="20AB01CA">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1. 上腹部疼痛</w:t>
            </w:r>
            <w:r>
              <w:rPr>
                <w:rFonts w:hint="default" w:ascii="Times New Roman" w:hAnsi="宋体"/>
                <w:bCs/>
                <w:szCs w:val="20"/>
                <w:lang w:val="en-US" w:eastAsia="zh-CN"/>
              </w:rPr>
              <w:t xml:space="preserve"> 是突出的症状，多为隐痛、胀痛或烧灼痛。 </w:t>
            </w:r>
          </w:p>
          <w:p w14:paraId="79E062D3">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（1）节律性：疼痛具有节律性，胃溃疡多发生在进食后，即进食—疼痛—缓解，十二指肠溃疡多发生在空腹和夜间，即疼痛—进食—缓解。 </w:t>
            </w:r>
          </w:p>
          <w:p w14:paraId="34700D29">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（2）周期性：发作多发生于秋冬或冬春之交，发作期和缓解期交替。 </w:t>
            </w:r>
          </w:p>
          <w:p w14:paraId="32A11DA5">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（3）部分患者可伴有嗳气、反酸、流涎、恶心、呕吐等消化不良的表现，疼痛节律性消失提示可能有并发症。 </w:t>
            </w:r>
          </w:p>
          <w:p w14:paraId="3AFF8989">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2. 全身症状</w:t>
            </w:r>
            <w:r>
              <w:rPr>
                <w:rFonts w:hint="default" w:ascii="Times New Roman" w:hAnsi="宋体"/>
                <w:bCs/>
                <w:szCs w:val="20"/>
                <w:lang w:val="en-US" w:eastAsia="zh-CN"/>
              </w:rPr>
              <w:t xml:space="preserve"> 可出现失眠、多汗、脉缓等自主神经功能紊乱的表现。胃溃疡因进食疼痛而影响食欲，久之导致营养不良、消瘦及贫血。十二指肠溃疡往往由于进食可缓解疼痛而频繁进食，体重可增加，但若出血可致贫血。 </w:t>
            </w:r>
          </w:p>
          <w:p w14:paraId="2F8FC71C">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 xml:space="preserve">（二）体征 </w:t>
            </w:r>
          </w:p>
          <w:p w14:paraId="6F46328A">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发作期可仅有剑突下局限压痛，压痛较轻，缓解期无明显体征。 </w:t>
            </w:r>
          </w:p>
          <w:p w14:paraId="733FA802">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（三）特殊类型的溃疡 </w:t>
            </w:r>
          </w:p>
          <w:p w14:paraId="72BF6848">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 xml:space="preserve">1. 无症状性溃疡 </w:t>
            </w:r>
            <w:r>
              <w:rPr>
                <w:rFonts w:hint="default" w:ascii="Times New Roman" w:hAnsi="宋体"/>
                <w:bCs/>
                <w:szCs w:val="20"/>
                <w:lang w:val="en-US" w:eastAsia="zh-CN"/>
              </w:rPr>
              <w:t xml:space="preserve">长期服用 NSAIDs 患者及老年人多见，无任何症状，只是在体检中发现或出血、穿孔并发症为首发症状。 </w:t>
            </w:r>
          </w:p>
          <w:p w14:paraId="125BD735">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 xml:space="preserve">2. 老年人消化性溃疡 </w:t>
            </w:r>
            <w:r>
              <w:rPr>
                <w:rFonts w:hint="default" w:ascii="Times New Roman" w:hAnsi="宋体"/>
                <w:bCs/>
                <w:szCs w:val="20"/>
                <w:lang w:val="en-US" w:eastAsia="zh-CN"/>
              </w:rPr>
              <w:t xml:space="preserve">位于胃体上部的高位溃疡较多见。症状不典型，疼痛多无规律。食欲不振、恶心与呕吐、消瘦、贫血较突出，需与胃癌鉴别。 </w:t>
            </w:r>
          </w:p>
          <w:p w14:paraId="11E5EC55">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3. 复合性溃疡</w:t>
            </w:r>
            <w:r>
              <w:rPr>
                <w:rFonts w:hint="default" w:ascii="Times New Roman" w:hAnsi="宋体"/>
                <w:bCs/>
                <w:szCs w:val="20"/>
                <w:lang w:val="en-US" w:eastAsia="zh-CN"/>
              </w:rPr>
              <w:t xml:space="preserve"> 指胃和十二指肠溃疡同时存在，DU 先于 GU，症状无特异性，幽门梗阻率高于单独的 DU 和 GU。 </w:t>
            </w:r>
          </w:p>
          <w:p w14:paraId="012729DA">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4. 幽门管溃疡</w:t>
            </w:r>
            <w:r>
              <w:rPr>
                <w:rFonts w:hint="default" w:ascii="Times New Roman" w:hAnsi="宋体"/>
                <w:bCs/>
                <w:szCs w:val="20"/>
                <w:lang w:val="en-US" w:eastAsia="zh-CN"/>
              </w:rPr>
              <w:t xml:space="preserve"> 表现为餐后立即出现较为剧烈而无节律的中上腹痛，对抗酸药敏感性差，易出现幽门梗阻、穿孔、出血等并发症。 </w:t>
            </w:r>
          </w:p>
          <w:p w14:paraId="5C6C0ABB">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 xml:space="preserve">5. 球后溃疡 </w:t>
            </w:r>
            <w:r>
              <w:rPr>
                <w:rFonts w:hint="default" w:ascii="Times New Roman" w:hAnsi="宋体"/>
                <w:bCs/>
                <w:szCs w:val="20"/>
                <w:lang w:val="en-US" w:eastAsia="zh-CN"/>
              </w:rPr>
              <w:t xml:space="preserve">指发生于十二指肠球部以下的溃疡，多位于十二指肠乳头。多表现夜间痛和背部放射痛，并发大量出血多见，药物治疗效果差。球后溃疡不等于球后壁溃疡。 </w:t>
            </w:r>
          </w:p>
          <w:p w14:paraId="5D9594AD">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（四）并发症</w:t>
            </w:r>
            <w:r>
              <w:rPr>
                <w:rFonts w:hint="default" w:ascii="Times New Roman" w:hAnsi="宋体"/>
                <w:bCs/>
                <w:szCs w:val="20"/>
                <w:lang w:val="en-US" w:eastAsia="zh-CN"/>
              </w:rPr>
              <w:t xml:space="preserve"> </w:t>
            </w:r>
          </w:p>
          <w:p w14:paraId="3CF294F4">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1. 出血</w:t>
            </w:r>
            <w:r>
              <w:rPr>
                <w:rFonts w:hint="default" w:ascii="Times New Roman" w:hAnsi="宋体"/>
                <w:bCs/>
                <w:szCs w:val="20"/>
                <w:lang w:val="en-US" w:eastAsia="zh-CN"/>
              </w:rPr>
              <w:t xml:space="preserve"> 发生于 15% ～ 25% 的患者，DU 比 GU 容易发生，是上消化道出血最常见的原因，10% ～ 25% 患者出血是溃疡的首发症状。出血 &gt;50mL 出现黑便；&gt;1000mL表现循环障碍；半小时内 &gt;1500mL 出现休克。 </w:t>
            </w:r>
          </w:p>
          <w:p w14:paraId="5A073C6C">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2. 穿孔</w:t>
            </w:r>
            <w:r>
              <w:rPr>
                <w:rFonts w:hint="default" w:ascii="Times New Roman" w:hAnsi="宋体"/>
                <w:bCs/>
                <w:szCs w:val="20"/>
                <w:lang w:val="en-US" w:eastAsia="zh-CN"/>
              </w:rPr>
              <w:t xml:space="preserve"> 急性穿孔是胃、十二指肠溃疡常见的严重并发症，穿孔部位多在胃小弯及十二指肠球部。突发剧烈腹痛，持续加剧，先出现于上腹，逐步波及全腹。 </w:t>
            </w:r>
          </w:p>
          <w:p w14:paraId="324FFDF8">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3. 幽门梗阻</w:t>
            </w:r>
            <w:r>
              <w:rPr>
                <w:rFonts w:hint="default" w:ascii="Times New Roman" w:hAnsi="宋体"/>
                <w:bCs/>
                <w:szCs w:val="20"/>
                <w:lang w:val="en-US" w:eastAsia="zh-CN"/>
              </w:rPr>
              <w:t xml:space="preserve"> DU或幽门管溃疡引起，胃排空延迟，上腹胀，餐后加重恶心、呕吐宿食，呕吐物有酸腐味，吐后缓解，查体可见蠕动波，空腹检查胃内有震水声。</w:t>
            </w:r>
          </w:p>
          <w:p w14:paraId="56662383">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4. 癌变</w:t>
            </w:r>
            <w:r>
              <w:rPr>
                <w:rFonts w:hint="default" w:ascii="Times New Roman" w:hAnsi="宋体"/>
                <w:bCs/>
                <w:szCs w:val="20"/>
                <w:lang w:val="en-US" w:eastAsia="zh-CN"/>
              </w:rPr>
              <w:t xml:space="preserve"> GU </w:t>
            </w:r>
            <w:r>
              <w:rPr>
                <w:rFonts w:hint="eastAsia" w:ascii="Times New Roman" w:hAnsi="宋体"/>
                <w:bCs/>
                <w:szCs w:val="20"/>
                <w:lang w:val="en-US" w:eastAsia="zh-CN"/>
              </w:rPr>
              <w:t xml:space="preserve">＜ </w:t>
            </w:r>
            <w:r>
              <w:rPr>
                <w:rFonts w:hint="default" w:ascii="Times New Roman" w:hAnsi="宋体"/>
                <w:bCs/>
                <w:szCs w:val="20"/>
                <w:lang w:val="en-US" w:eastAsia="zh-CN"/>
              </w:rPr>
              <w:t xml:space="preserve">1% 可癌变，DU 一般不发生癌变。 </w:t>
            </w:r>
          </w:p>
          <w:p w14:paraId="1E0991E2">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三、辅助检查</w:t>
            </w:r>
            <w:r>
              <w:rPr>
                <w:rFonts w:hint="default" w:ascii="Times New Roman" w:hAnsi="宋体"/>
                <w:bCs/>
                <w:szCs w:val="20"/>
                <w:lang w:val="en-US" w:eastAsia="zh-CN"/>
              </w:rPr>
              <w:t xml:space="preserve"> </w:t>
            </w:r>
          </w:p>
          <w:p w14:paraId="5B1E8A83">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1. 纤维胃镜检查</w:t>
            </w:r>
            <w:r>
              <w:rPr>
                <w:rFonts w:hint="default" w:ascii="Times New Roman" w:hAnsi="宋体"/>
                <w:bCs/>
                <w:szCs w:val="20"/>
                <w:lang w:val="en-US" w:eastAsia="zh-CN"/>
              </w:rPr>
              <w:t xml:space="preserve"> 对消化性溃疡有确诊价值。可直接观察 溃疡部位、病变大小、性质，并可取活体组织做病理检查。 </w:t>
            </w:r>
          </w:p>
          <w:p w14:paraId="505E5FCF">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2. X 线胃肠钡餐检查</w:t>
            </w:r>
            <w:r>
              <w:rPr>
                <w:rFonts w:hint="default" w:ascii="Times New Roman" w:hAnsi="宋体"/>
                <w:bCs/>
                <w:szCs w:val="20"/>
                <w:lang w:val="en-US" w:eastAsia="zh-CN"/>
              </w:rPr>
              <w:t xml:space="preserve"> 对于胃镜有禁忌者或不愿意接受胃镜检查患者，其效果逊于胃镜，溃疡直接征象为龛影。 </w:t>
            </w:r>
          </w:p>
          <w:p w14:paraId="0EABD29E">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3. 粪便隐血试验</w:t>
            </w:r>
            <w:r>
              <w:rPr>
                <w:rFonts w:hint="default" w:ascii="Times New Roman" w:hAnsi="宋体"/>
                <w:bCs/>
                <w:szCs w:val="20"/>
                <w:lang w:val="en-US" w:eastAsia="zh-CN"/>
              </w:rPr>
              <w:t xml:space="preserve"> 便隐血试验阳性提示溃疡有活动性，持 续阳性，有癌变可能。 </w:t>
            </w:r>
          </w:p>
          <w:p w14:paraId="36692366">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4. 幽门螺杆菌检测</w:t>
            </w:r>
            <w:r>
              <w:rPr>
                <w:rFonts w:hint="default" w:ascii="Times New Roman" w:hAnsi="宋体"/>
                <w:bCs/>
                <w:szCs w:val="20"/>
                <w:lang w:val="en-US" w:eastAsia="zh-CN"/>
              </w:rPr>
              <w:t xml:space="preserve"> 快速尿素酶试验是侵入性试验中诊断 HP 感染的首选方法，操作简便，费用低。13C- 尿素或 14C- 尿素呼气试验是非侵入性检测 HP 感染的方法，其敏感性和特异性高，可作为根除治疗后复查的首选方法。 </w:t>
            </w:r>
          </w:p>
          <w:p w14:paraId="69785AEC">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四、诊断要点</w:t>
            </w:r>
            <w:r>
              <w:rPr>
                <w:rFonts w:hint="default" w:ascii="Times New Roman" w:hAnsi="宋体"/>
                <w:bCs/>
                <w:szCs w:val="20"/>
                <w:lang w:val="en-US" w:eastAsia="zh-CN"/>
              </w:rPr>
              <w:t xml:space="preserve"> </w:t>
            </w:r>
          </w:p>
          <w:p w14:paraId="2F0A6983">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根据慢性病程、周期性发作、节律性上腹痛病史，结合胃镜即可确诊，不能接受胃镜检查者，X 线钡餐检查可见龛影，亦可以诊断。 </w:t>
            </w:r>
          </w:p>
          <w:p w14:paraId="4A24ED05">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五、治疗 </w:t>
            </w:r>
          </w:p>
          <w:p w14:paraId="1B1756B0">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消化性溃疡的治疗目标为消除病因，控制症状，促进溃疡愈合，预防复发和避免并发症。 </w:t>
            </w:r>
          </w:p>
          <w:p w14:paraId="5155A4C2">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1. 根除 HP 的治疗</w:t>
            </w:r>
            <w:r>
              <w:rPr>
                <w:rFonts w:hint="default" w:ascii="Times New Roman" w:hAnsi="宋体"/>
                <w:bCs/>
                <w:szCs w:val="20"/>
                <w:lang w:val="en-US" w:eastAsia="zh-CN"/>
              </w:rPr>
              <w:t xml:space="preserve"> 见表 7-1，分 2 次服用，疗程 7 ～ 14 天，可根除 HP 的感染。</w:t>
            </w:r>
          </w:p>
          <w:p w14:paraId="3CBBCDF1">
            <w:pPr>
              <w:keepNext w:val="0"/>
              <w:keepLines w:val="0"/>
              <w:widowControl/>
              <w:suppressLineNumbers w:val="0"/>
              <w:spacing w:before="0" w:beforeAutospacing="0" w:after="0" w:afterAutospacing="0"/>
              <w:ind w:left="0" w:right="0"/>
              <w:jc w:val="left"/>
              <w:rPr>
                <w:rFonts w:hint="default" w:ascii="Times New Roman" w:hAnsi="宋体"/>
                <w:bCs/>
                <w:szCs w:val="20"/>
                <w:lang w:val="en-US" w:eastAsia="zh-CN"/>
              </w:rPr>
            </w:pPr>
            <w:r>
              <w:rPr>
                <w:rFonts w:hint="default" w:ascii="Times New Roman" w:hAnsi="宋体"/>
                <w:bCs/>
                <w:szCs w:val="20"/>
                <w:lang w:val="en-US" w:eastAsia="zh-CN"/>
              </w:rPr>
              <w:drawing>
                <wp:inline distT="0" distB="0" distL="114300" distR="114300">
                  <wp:extent cx="3545840" cy="772795"/>
                  <wp:effectExtent l="0" t="0" r="5080" b="4445"/>
                  <wp:docPr id="1" name="图片 1" descr="1712111407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712111407429"/>
                          <pic:cNvPicPr>
                            <a:picLocks noChangeAspect="1"/>
                          </pic:cNvPicPr>
                        </pic:nvPicPr>
                        <pic:blipFill>
                          <a:blip r:embed="rId6"/>
                          <a:stretch>
                            <a:fillRect/>
                          </a:stretch>
                        </pic:blipFill>
                        <pic:spPr>
                          <a:xfrm>
                            <a:off x="0" y="0"/>
                            <a:ext cx="3545840" cy="772795"/>
                          </a:xfrm>
                          <a:prstGeom prst="rect">
                            <a:avLst/>
                          </a:prstGeom>
                        </pic:spPr>
                      </pic:pic>
                    </a:graphicData>
                  </a:graphic>
                </wp:inline>
              </w:drawing>
            </w:r>
          </w:p>
          <w:p w14:paraId="0577C086">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2. 抑制胃酸分泌药物</w:t>
            </w:r>
            <w:r>
              <w:rPr>
                <w:rFonts w:hint="default" w:ascii="Times New Roman" w:hAnsi="宋体"/>
                <w:bCs/>
                <w:szCs w:val="20"/>
                <w:lang w:val="en-US" w:eastAsia="zh-CN"/>
              </w:rPr>
              <w:t xml:space="preserve"> 目前临床常用的抑制胃酸分泌的药物有 H2 受体拮抗药（H2RA）和质子抑制药（PPI）。H2RA 常用药物有西咪替丁、雷尼替丁、法莫替丁等。PPI 主要有奥美拉唑、兰索拉唑等。 </w:t>
            </w:r>
          </w:p>
          <w:p w14:paraId="0C9393AD">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 xml:space="preserve">3. 保护胃黏膜药物 </w:t>
            </w:r>
            <w:r>
              <w:rPr>
                <w:rFonts w:hint="default" w:ascii="Times New Roman" w:hAnsi="宋体"/>
                <w:bCs/>
                <w:szCs w:val="20"/>
                <w:lang w:val="en-US" w:eastAsia="zh-CN"/>
              </w:rPr>
              <w:t xml:space="preserve">主要有硫糖铝、枸橼酸铋钾和前列腺素类保护药物米索前列醇。 </w:t>
            </w:r>
          </w:p>
          <w:p w14:paraId="439945F8">
            <w:pPr>
              <w:keepNext w:val="0"/>
              <w:keepLines w:val="0"/>
              <w:widowControl/>
              <w:suppressLineNumbers w:val="0"/>
              <w:spacing w:before="0" w:beforeAutospacing="0" w:after="0" w:afterAutospacing="0"/>
              <w:ind w:left="0" w:right="0" w:firstLine="422" w:firstLineChars="200"/>
              <w:jc w:val="left"/>
              <w:rPr>
                <w:rFonts w:hint="default" w:ascii="方正书宋简体" w:hAnsi="方正书宋简体" w:eastAsia="方正书宋简体" w:cs="方正书宋简体"/>
                <w:color w:val="231F20"/>
                <w:kern w:val="0"/>
                <w:sz w:val="21"/>
                <w:szCs w:val="21"/>
                <w:lang w:val="en-US" w:eastAsia="zh-CN" w:bidi="ar"/>
              </w:rPr>
            </w:pPr>
            <w:r>
              <w:rPr>
                <w:rFonts w:hint="default" w:ascii="Times New Roman" w:hAnsi="宋体"/>
                <w:b/>
                <w:bCs w:val="0"/>
                <w:szCs w:val="20"/>
                <w:lang w:val="en-US" w:eastAsia="zh-CN"/>
              </w:rPr>
              <w:t>4. 手术治疗</w:t>
            </w:r>
            <w:r>
              <w:rPr>
                <w:rFonts w:hint="default" w:ascii="Times New Roman" w:hAnsi="宋体"/>
                <w:bCs/>
                <w:szCs w:val="20"/>
                <w:lang w:val="en-US" w:eastAsia="zh-CN"/>
              </w:rPr>
              <w:t xml:space="preserve"> 内科治疗无效、并发穿孔、癌病等符合外科手术指征的可以手术治疗。</w:t>
            </w:r>
          </w:p>
          <w:p w14:paraId="1B421CAE">
            <w:pPr>
              <w:keepNext w:val="0"/>
              <w:keepLines w:val="0"/>
              <w:widowControl w:val="0"/>
              <w:suppressLineNumbers w:val="0"/>
              <w:spacing w:before="0" w:beforeAutospacing="0" w:after="0" w:afterAutospacing="0" w:line="360" w:lineRule="auto"/>
              <w:ind w:left="0" w:right="0"/>
              <w:jc w:val="both"/>
              <w:rPr>
                <w:rFonts w:hint="default" w:ascii="Times New Roman" w:hAnsi="Times New Roman"/>
                <w:sz w:val="24"/>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696" w:type="dxa"/>
            <w:tcBorders>
              <w:tl2br w:val="nil"/>
              <w:tr2bl w:val="nil"/>
            </w:tcBorders>
            <w:shd w:val="clear" w:color="auto" w:fill="auto"/>
            <w:vAlign w:val="center"/>
          </w:tcPr>
          <w:p w14:paraId="7864B12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default" w:ascii="Times New Roman" w:hAnsi="Times New Roman" w:eastAsia="宋体" w:cs="Times New Roman"/>
                <w:b/>
                <w:kern w:val="2"/>
                <w:sz w:val="21"/>
                <w:szCs w:val="24"/>
                <w:lang w:val="en-US" w:eastAsia="zh-CN" w:bidi="ar-SA"/>
              </w:rPr>
            </w:pPr>
            <w:r>
              <w:rPr>
                <w:rFonts w:hint="eastAsia" w:ascii="Times New Roman" w:hAnsi="Times New Roman"/>
                <w:b/>
                <w:szCs w:val="24"/>
              </w:rPr>
              <w:t>通过教师讲解，了解</w:t>
            </w:r>
            <w:r>
              <w:rPr>
                <w:rFonts w:hint="eastAsia" w:ascii="Times New Roman" w:hAnsi="Times New Roman"/>
                <w:b/>
                <w:szCs w:val="24"/>
                <w:lang w:val="en-US" w:eastAsia="zh-CN"/>
              </w:rPr>
              <w:t>常见症状</w:t>
            </w:r>
            <w:r>
              <w:rPr>
                <w:rFonts w:hint="eastAsia" w:ascii="Times New Roman" w:hAnsi="Times New Roman"/>
                <w:b/>
                <w:szCs w:val="24"/>
              </w:rPr>
              <w:t>的基本理论知识。</w:t>
            </w:r>
          </w:p>
        </w:tc>
      </w:tr>
      <w:tr w14:paraId="7DC5B496">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7074CA37">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14:paraId="561A1C22">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w:t>
            </w:r>
            <w:r>
              <w:rPr>
                <w:rFonts w:hint="eastAsia" w:ascii="Times New Roman" w:hAnsi="Times New Roman" w:cs="Times New Roman"/>
                <w:kern w:val="2"/>
                <w:sz w:val="24"/>
                <w:szCs w:val="24"/>
                <w:lang w:val="en-US" w:eastAsia="zh-CN" w:bidi="ar"/>
              </w:rPr>
              <w:t>3</w:t>
            </w:r>
            <w:r>
              <w:rPr>
                <w:rFonts w:hint="default" w:ascii="Times New Roman" w:hAnsi="Times New Roman" w:eastAsia="宋体" w:cs="Times New Roman"/>
                <w:kern w:val="2"/>
                <w:sz w:val="24"/>
                <w:szCs w:val="24"/>
                <w:lang w:val="en-US" w:eastAsia="zh-CN" w:bidi="ar"/>
              </w:rPr>
              <w:t>min</w:t>
            </w:r>
            <w:r>
              <w:rPr>
                <w:rFonts w:hint="eastAsia" w:ascii="宋体" w:hAnsi="宋体" w:eastAsia="宋体" w:cs="宋体"/>
                <w:kern w:val="2"/>
                <w:sz w:val="24"/>
                <w:szCs w:val="24"/>
                <w:lang w:val="en-US" w:eastAsia="zh-CN" w:bidi="ar"/>
              </w:rPr>
              <w:t>）</w:t>
            </w:r>
          </w:p>
        </w:tc>
        <w:tc>
          <w:tcPr>
            <w:tcW w:w="7208" w:type="dxa"/>
            <w:tcBorders>
              <w:tl2br w:val="nil"/>
              <w:tr2bl w:val="nil"/>
            </w:tcBorders>
            <w:vAlign w:val="center"/>
          </w:tcPr>
          <w:p w14:paraId="4398DD3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5378B57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宋体" w:hAnsi="宋体" w:eastAsia="宋体" w:cs="宋体"/>
                <w:b/>
                <w:bCs w:val="0"/>
                <w:kern w:val="2"/>
                <w:sz w:val="24"/>
                <w:szCs w:val="24"/>
                <w:lang w:val="en-US" w:eastAsia="zh-CN" w:bidi="ar"/>
              </w:rPr>
            </w:pPr>
            <w:r>
              <w:rPr>
                <w:rFonts w:hint="eastAsia" w:ascii="宋体" w:hAnsi="宋体" w:eastAsia="宋体" w:cs="宋体"/>
                <w:b/>
                <w:bCs w:val="0"/>
                <w:kern w:val="2"/>
                <w:sz w:val="21"/>
                <w:szCs w:val="21"/>
                <w:lang w:val="en-US" w:eastAsia="zh-CN" w:bidi="ar"/>
              </w:rPr>
              <w:t>这节课我们一起学习了消化性溃疡，了解</w:t>
            </w:r>
            <w:r>
              <w:rPr>
                <w:rFonts w:hint="default" w:ascii="宋体" w:hAnsi="宋体" w:eastAsia="宋体" w:cs="宋体"/>
                <w:b/>
                <w:bCs w:val="0"/>
                <w:kern w:val="2"/>
                <w:sz w:val="21"/>
                <w:szCs w:val="21"/>
                <w:lang w:val="en-US" w:eastAsia="zh-CN" w:bidi="ar"/>
              </w:rPr>
              <w:t>对消化性溃疡有确诊价值。可直接观察 溃疡部位、病变大小、性质，并可取活体组织做病理检查。</w:t>
            </w:r>
          </w:p>
        </w:tc>
        <w:tc>
          <w:tcPr>
            <w:tcW w:w="1696" w:type="dxa"/>
            <w:tcBorders>
              <w:tl2br w:val="nil"/>
              <w:tr2bl w:val="nil"/>
            </w:tcBorders>
            <w:vAlign w:val="center"/>
          </w:tcPr>
          <w:p w14:paraId="1B253B2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30C22C72">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75C41231">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kern w:val="2"/>
                <w:sz w:val="24"/>
                <w:szCs w:val="24"/>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4"/>
                <w:szCs w:val="24"/>
                <w:lang w:val="en-US" w:eastAsia="zh-CN" w:bidi="ar"/>
              </w:rPr>
              <w:t>（</w:t>
            </w:r>
            <w:r>
              <w:rPr>
                <w:rFonts w:hint="eastAsia" w:ascii="Times New Roman" w:hAnsi="Times New Roman" w:cs="Times New Roman"/>
                <w:b w:val="0"/>
                <w:bCs w:val="0"/>
                <w:kern w:val="2"/>
                <w:sz w:val="24"/>
                <w:szCs w:val="24"/>
                <w:lang w:val="en-US" w:eastAsia="zh-CN" w:bidi="ar"/>
              </w:rPr>
              <w:t>2</w:t>
            </w:r>
            <w:r>
              <w:rPr>
                <w:rFonts w:hint="default" w:ascii="Times New Roman" w:hAnsi="Times New Roman" w:eastAsia="宋体" w:cs="Times New Roman"/>
                <w:b w:val="0"/>
                <w:bCs w:val="0"/>
                <w:kern w:val="2"/>
                <w:sz w:val="24"/>
                <w:szCs w:val="24"/>
                <w:lang w:val="en-US" w:eastAsia="zh-CN" w:bidi="ar"/>
              </w:rPr>
              <w:t>min</w:t>
            </w:r>
            <w:r>
              <w:rPr>
                <w:rFonts w:hint="eastAsia" w:ascii="宋体" w:hAnsi="宋体" w:eastAsia="宋体" w:cs="宋体"/>
                <w:b w:val="0"/>
                <w:bCs w:val="0"/>
                <w:kern w:val="2"/>
                <w:sz w:val="24"/>
                <w:szCs w:val="24"/>
                <w:lang w:val="en-US" w:eastAsia="zh-CN" w:bidi="ar"/>
              </w:rPr>
              <w:t>）</w:t>
            </w:r>
          </w:p>
        </w:tc>
        <w:tc>
          <w:tcPr>
            <w:tcW w:w="7208" w:type="dxa"/>
            <w:tcBorders>
              <w:tl2br w:val="nil"/>
              <w:tr2bl w:val="nil"/>
            </w:tcBorders>
            <w:vAlign w:val="center"/>
          </w:tcPr>
          <w:p w14:paraId="2AB9583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5B77FE7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Calibri" w:hAnsi="宋体" w:eastAsia="宋体" w:cs="Times New Roman"/>
                <w:bCs/>
                <w:kern w:val="2"/>
                <w:sz w:val="24"/>
                <w:szCs w:val="24"/>
                <w:lang w:val="en-US" w:eastAsia="zh-CN" w:bidi="ar-SA"/>
              </w:rPr>
            </w:pPr>
            <w:r>
              <w:rPr>
                <w:rFonts w:hint="eastAsia" w:ascii="Times New Roman" w:hAnsi="宋体"/>
                <w:b/>
                <w:bCs w:val="0"/>
                <w:szCs w:val="20"/>
                <w:lang w:val="en-US" w:eastAsia="zh-CN"/>
              </w:rPr>
              <w:t>简述</w:t>
            </w:r>
            <w:r>
              <w:rPr>
                <w:rFonts w:hint="default" w:ascii="Times New Roman" w:hAnsi="宋体"/>
                <w:b/>
                <w:bCs w:val="0"/>
                <w:szCs w:val="20"/>
                <w:lang w:val="en-US" w:eastAsia="zh-CN"/>
              </w:rPr>
              <w:t>抑制胃酸分泌药物</w:t>
            </w:r>
            <w:r>
              <w:rPr>
                <w:rFonts w:hint="eastAsia" w:ascii="Times New Roman" w:hAnsi="宋体"/>
                <w:b/>
                <w:bCs w:val="0"/>
                <w:szCs w:val="20"/>
                <w:lang w:val="en-US" w:eastAsia="zh-CN"/>
              </w:rPr>
              <w:t>。</w:t>
            </w:r>
          </w:p>
        </w:tc>
        <w:tc>
          <w:tcPr>
            <w:tcW w:w="1696" w:type="dxa"/>
            <w:tcBorders>
              <w:tl2br w:val="nil"/>
              <w:tr2bl w:val="nil"/>
            </w:tcBorders>
            <w:vAlign w:val="center"/>
          </w:tcPr>
          <w:p w14:paraId="1E3B54E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0085CE90">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4759C59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firstLine="240" w:firstLineChars="10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02FA6272">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微软雅黑" w:hAnsi="微软雅黑" w:eastAsia="微软雅黑" w:cs="微软雅黑"/>
                <w:b/>
                <w:bCs w:val="0"/>
                <w:kern w:val="2"/>
                <w:sz w:val="24"/>
                <w:szCs w:val="24"/>
                <w:lang w:val="en-US" w:eastAsia="zh-CN" w:bidi="ar"/>
              </w:rPr>
            </w:pPr>
            <w:r>
              <w:rPr>
                <w:rFonts w:hint="default" w:ascii="Times New Roman" w:hAnsi="Times New Roman"/>
                <w:szCs w:val="24"/>
              </w:rPr>
              <w:t>（40</w:t>
            </w:r>
            <w:r>
              <w:rPr>
                <w:rFonts w:hint="eastAsia" w:ascii="Times New Roman" w:hAnsi="Times New Roman"/>
                <w:szCs w:val="24"/>
              </w:rPr>
              <w:t>min）</w:t>
            </w:r>
          </w:p>
        </w:tc>
        <w:tc>
          <w:tcPr>
            <w:tcW w:w="7208" w:type="dxa"/>
            <w:tcBorders>
              <w:tl2br w:val="nil"/>
              <w:tr2bl w:val="nil"/>
            </w:tcBorders>
            <w:vAlign w:val="center"/>
          </w:tcPr>
          <w:p w14:paraId="409E2333">
            <w:pPr>
              <w:keepNext w:val="0"/>
              <w:keepLines w:val="0"/>
              <w:widowControl/>
              <w:suppressLineNumbers w:val="0"/>
              <w:spacing w:before="0" w:beforeAutospacing="0" w:after="0" w:afterAutospacing="0"/>
              <w:ind w:left="0" w:right="0"/>
              <w:jc w:val="left"/>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展示肝硬化</w:t>
            </w:r>
          </w:p>
          <w:p w14:paraId="670D8DE3">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肝硬化是由一种或多种病因引起的肝组织出现弥漫性纤维化、假小叶和再生结节形成为主要病理特征的进行性慢性肝病。肝硬化以肝功能损害、门静脉高压为主要表现。 </w:t>
            </w:r>
          </w:p>
          <w:p w14:paraId="1FE836F2">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晚期常出现消化道出血、肝性脑病、继发感染等并发症，病死率高。发病高峰在35</w:t>
            </w:r>
            <w:r>
              <w:rPr>
                <w:rFonts w:hint="eastAsia" w:ascii="Times New Roman" w:hAnsi="宋体"/>
                <w:bCs/>
                <w:szCs w:val="20"/>
                <w:lang w:val="en-US" w:eastAsia="zh-CN"/>
              </w:rPr>
              <w:t>～</w:t>
            </w:r>
            <w:r>
              <w:rPr>
                <w:rFonts w:hint="default" w:ascii="Times New Roman" w:hAnsi="宋体"/>
                <w:bCs/>
                <w:szCs w:val="20"/>
                <w:lang w:val="en-US" w:eastAsia="zh-CN"/>
              </w:rPr>
              <w:t xml:space="preserve">50岁，男性多于女性。 </w:t>
            </w:r>
          </w:p>
          <w:p w14:paraId="0C07A570">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一、病因与发病机制 </w:t>
            </w:r>
          </w:p>
          <w:p w14:paraId="34D57A97">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1. 病毒性肝炎</w:t>
            </w:r>
            <w:r>
              <w:rPr>
                <w:rFonts w:hint="default" w:ascii="Times New Roman" w:hAnsi="宋体"/>
                <w:bCs/>
                <w:szCs w:val="20"/>
                <w:lang w:val="en-US" w:eastAsia="zh-CN"/>
              </w:rPr>
              <w:t xml:space="preserve"> 是我国引起肝硬化最常见病因，主要是乙型肝炎。 </w:t>
            </w:r>
          </w:p>
          <w:p w14:paraId="56DC3ECB">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2. 慢性酒精中毒</w:t>
            </w:r>
            <w:r>
              <w:rPr>
                <w:rFonts w:hint="default" w:ascii="Times New Roman" w:hAnsi="宋体"/>
                <w:bCs/>
                <w:szCs w:val="20"/>
                <w:lang w:val="en-US" w:eastAsia="zh-CN"/>
              </w:rPr>
              <w:t xml:space="preserve"> 乙醇及其代谢产物乙醛的毒性作用，引起酒精性肝炎进而引起肝硬化，是国外肝硬化的主要病因。 </w:t>
            </w:r>
          </w:p>
          <w:p w14:paraId="6216BD31">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3. 非酒精性脂肪性肝炎</w:t>
            </w:r>
            <w:r>
              <w:rPr>
                <w:rFonts w:hint="default" w:ascii="Times New Roman" w:hAnsi="宋体"/>
                <w:bCs/>
                <w:szCs w:val="20"/>
                <w:lang w:val="en-US" w:eastAsia="zh-CN"/>
              </w:rPr>
              <w:t xml:space="preserve"> 高血脂、糖尿病与之有关。 </w:t>
            </w:r>
          </w:p>
          <w:p w14:paraId="3306166A">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4. 药物及化学毒物</w:t>
            </w:r>
            <w:r>
              <w:rPr>
                <w:rFonts w:hint="default" w:ascii="Times New Roman" w:hAnsi="宋体"/>
                <w:bCs/>
                <w:szCs w:val="20"/>
                <w:lang w:val="en-US" w:eastAsia="zh-CN"/>
              </w:rPr>
              <w:t xml:space="preserve"> 长期服用异烟肼、甲基多巴等药物或长期接触四氯化碳、磷等化学毒物均可以引起中毒性肝炎，最终进展成肝硬化。 </w:t>
            </w:r>
          </w:p>
          <w:p w14:paraId="6986F7EC">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 xml:space="preserve">5. 其他 </w:t>
            </w:r>
            <w:r>
              <w:rPr>
                <w:rFonts w:hint="default" w:ascii="Times New Roman" w:hAnsi="宋体"/>
                <w:bCs/>
                <w:szCs w:val="20"/>
                <w:lang w:val="en-US" w:eastAsia="zh-CN"/>
              </w:rPr>
              <w:t xml:space="preserve">自身免疫遗传和代谢性疾病、胆汁淤积、血吸虫病等均可造成肝损害。 </w:t>
            </w:r>
          </w:p>
          <w:p w14:paraId="6A8A53A5">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二、临床表现</w:t>
            </w:r>
            <w:r>
              <w:rPr>
                <w:rFonts w:hint="default" w:ascii="Times New Roman" w:hAnsi="宋体"/>
                <w:bCs/>
                <w:szCs w:val="20"/>
                <w:lang w:val="en-US" w:eastAsia="zh-CN"/>
              </w:rPr>
              <w:t xml:space="preserve"> </w:t>
            </w:r>
          </w:p>
          <w:p w14:paraId="2459E02A">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肝硬化的病程进展缓慢，可达数年或数十年以上。早期可无明显症状，临床上将肝硬化分为肝功能代偿期和失代偿期。 </w:t>
            </w:r>
          </w:p>
          <w:p w14:paraId="6F681FA5">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（一）肝功能代偿期 </w:t>
            </w:r>
          </w:p>
          <w:p w14:paraId="6A9110A5">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一般症状较轻，无特异性，以疲倦乏力、食欲减退，可有恶心、腹部不适、隐痛、厌油及轻微腹泻。脾脏呈轻度或中度肿大，肝功能检查结果可正常或轻度异常。 </w:t>
            </w:r>
          </w:p>
          <w:p w14:paraId="2F3E693D">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（二）肝功能失代偿期 </w:t>
            </w:r>
          </w:p>
          <w:p w14:paraId="513C3AAF">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主要有肝功能减退和门静脉高压两大临床表现。</w:t>
            </w:r>
          </w:p>
          <w:p w14:paraId="351FB87F">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1. 肝功能减退的临床表现</w:t>
            </w:r>
            <w:r>
              <w:rPr>
                <w:rFonts w:hint="default" w:ascii="Times New Roman" w:hAnsi="宋体"/>
                <w:bCs/>
                <w:szCs w:val="20"/>
                <w:lang w:val="en-US" w:eastAsia="zh-CN"/>
              </w:rPr>
              <w:t xml:space="preserve"> </w:t>
            </w:r>
          </w:p>
          <w:p w14:paraId="7FD7E61A">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（1）全身症状：一般情况与营养状况较差，皮肤干枯粗糙，面色灰暗黝黑（肝病面容）。常有不规则低热、贫血、舌炎、口角炎、夜盲、多发性神经炎及浮肿等。 </w:t>
            </w:r>
          </w:p>
          <w:p w14:paraId="4D37CF53">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（2）消化系统症状：食欲减退，饱胀，恶心，厌油，呕吐，进油腻食物引起腹泻。半数以上患者有轻度黄疸，少数有中度或重度黄疸。 </w:t>
            </w:r>
          </w:p>
          <w:p w14:paraId="3A6E5295">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（3）出血倾向及贫血：由于肝脏合成凝血因子减少、脾功能亢进引起血小板减少及毛细血管脆性增加等原因患者常有鼻衄、齿龈出血、皮肤瘀斑和胃肠黏膜糜烂出血等。由于失血等原因引起不同程度的贫血。 </w:t>
            </w:r>
          </w:p>
          <w:p w14:paraId="6C33A95A">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（4）内分泌紊乱：因肝脏对雌激素灭活能力下降，体内雌激素增加，可致男性患者性功能减退，不育或女性化；女性患者可有月经失调，闭经，不孕。部分患者出现蜘蛛痣及肝掌。 </w:t>
            </w:r>
          </w:p>
          <w:p w14:paraId="06718420">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2. 门静脉高压症的临床表现</w:t>
            </w:r>
            <w:r>
              <w:rPr>
                <w:rFonts w:hint="default" w:ascii="Times New Roman" w:hAnsi="宋体"/>
                <w:bCs/>
                <w:szCs w:val="20"/>
                <w:lang w:val="en-US" w:eastAsia="zh-CN"/>
              </w:rPr>
              <w:t xml:space="preserve"> </w:t>
            </w:r>
          </w:p>
          <w:p w14:paraId="03F254B4">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（1）脾肿大：多为轻中度肿大，晚期可出现脾功能亢进过度吞噬血细胞，血细胞数量下降。 </w:t>
            </w:r>
          </w:p>
          <w:p w14:paraId="71DD2667">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（2）侧支循环的建立与开放：①食管下段和胃底静脉曲张；②腹壁和脐周静脉曲张；③痔核形成，破裂时可引起便血。 </w:t>
            </w:r>
          </w:p>
          <w:p w14:paraId="02B28CD4">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（3）腹水：是肝硬化失代偿最突出的表现，大量腹水时腹部膨隆，出现蛙状腹，有少数患者可伴右侧胸腔积液。 </w:t>
            </w:r>
          </w:p>
          <w:p w14:paraId="3B55A96C">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3. 肝脏的体征</w:t>
            </w:r>
            <w:r>
              <w:rPr>
                <w:rFonts w:hint="default" w:ascii="Times New Roman" w:hAnsi="宋体"/>
                <w:bCs/>
                <w:szCs w:val="20"/>
                <w:lang w:val="en-US" w:eastAsia="zh-CN"/>
              </w:rPr>
              <w:t xml:space="preserve"> 晚期肝脏缩小、坚硬，表面呈结节状。一般无压痛，肝细胞进行性坏死时可有轻压痛。 </w:t>
            </w:r>
          </w:p>
          <w:p w14:paraId="288EA7DC">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4. 并发症</w:t>
            </w:r>
            <w:r>
              <w:rPr>
                <w:rFonts w:hint="default" w:ascii="Times New Roman" w:hAnsi="宋体"/>
                <w:bCs/>
                <w:szCs w:val="20"/>
                <w:lang w:val="en-US" w:eastAsia="zh-CN"/>
              </w:rPr>
              <w:t xml:space="preserve"> </w:t>
            </w:r>
          </w:p>
          <w:p w14:paraId="757B89BD">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（1）上消化道出血：为本病最常见的并发症，多突然发生，出血量大、常伴有血便。严重者可出现失血性休克。 </w:t>
            </w:r>
          </w:p>
          <w:p w14:paraId="2D76B670">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（2）肝性脑病：肝性脑病是最严重的并发症，也是患者最常见的死亡原因。 </w:t>
            </w:r>
          </w:p>
          <w:p w14:paraId="0C0C68AD">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（3）感染：因抵抗力低下，门静脉高压腹水等诸多因素易并发肺部、胆道感染等。 </w:t>
            </w:r>
          </w:p>
          <w:p w14:paraId="2A991035">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（4）肝肾综合征：是肝硬化患者晚期常见的并发症，一旦出现预后差。主要表现为少尿或无尿，氮质血症、低钠血症等。 </w:t>
            </w:r>
          </w:p>
          <w:p w14:paraId="5EA4FF53">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（5）原发性肝癌：多在大结节性或大小结节混合性肝硬化基础上发生。因此肝硬化患者需要定期查肝脏超声及 AFP 检查，以早期发现原发性肝癌并发症。 </w:t>
            </w:r>
          </w:p>
          <w:p w14:paraId="185D132A">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三、辅助检查 </w:t>
            </w:r>
          </w:p>
          <w:p w14:paraId="2D29A396">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1. 常规检查</w:t>
            </w:r>
            <w:r>
              <w:rPr>
                <w:rFonts w:hint="default" w:ascii="Times New Roman" w:hAnsi="宋体"/>
                <w:bCs/>
                <w:szCs w:val="20"/>
                <w:lang w:val="en-US" w:eastAsia="zh-CN"/>
              </w:rPr>
              <w:t xml:space="preserve"> 失代偿期多有不同程度的贫血，脾亢时白细胞和血小板计数减少等。 </w:t>
            </w:r>
          </w:p>
          <w:p w14:paraId="7F65B565">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2. 肝功能</w:t>
            </w:r>
            <w:r>
              <w:rPr>
                <w:rFonts w:hint="default" w:ascii="Times New Roman" w:hAnsi="宋体"/>
                <w:bCs/>
                <w:szCs w:val="20"/>
                <w:lang w:val="en-US" w:eastAsia="zh-CN"/>
              </w:rPr>
              <w:t xml:space="preserve"> 代偿期肝功能可正常或轻度异常，失代偿期丙氨酸氨基转移酶（ALT）增高，凝血时间延长。血清清蛋白降低，球蛋白增高，清 / 球蛋白比值降低或倒置。 </w:t>
            </w:r>
          </w:p>
          <w:p w14:paraId="136ACCC3">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3. 免疫学检查</w:t>
            </w:r>
            <w:r>
              <w:rPr>
                <w:rFonts w:hint="default" w:ascii="Times New Roman" w:hAnsi="宋体"/>
                <w:bCs/>
                <w:szCs w:val="20"/>
                <w:lang w:val="en-US" w:eastAsia="zh-CN"/>
              </w:rPr>
              <w:t xml:space="preserve"> 免疫球蛋白 IgG 增高较常见，约半数患者 T 淋巴细胞下降，如病毒性肝炎的引起者可查出乙型肝炎及丙型肝炎的标志物。 </w:t>
            </w:r>
          </w:p>
          <w:p w14:paraId="72E394DF">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 xml:space="preserve">4. 腹水检查 </w:t>
            </w:r>
            <w:r>
              <w:rPr>
                <w:rFonts w:hint="default" w:ascii="Times New Roman" w:hAnsi="宋体"/>
                <w:bCs/>
                <w:szCs w:val="20"/>
                <w:lang w:val="en-US" w:eastAsia="zh-CN"/>
              </w:rPr>
              <w:t>腹水检查一般为漏出液。</w:t>
            </w:r>
          </w:p>
          <w:p w14:paraId="21EDF761">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5. 影像学检查</w:t>
            </w:r>
            <w:r>
              <w:rPr>
                <w:rFonts w:hint="default" w:ascii="Times New Roman" w:hAnsi="宋体"/>
                <w:bCs/>
                <w:szCs w:val="20"/>
                <w:lang w:val="en-US" w:eastAsia="zh-CN"/>
              </w:rPr>
              <w:t xml:space="preserve"> X 线钡餐可见胃底—食管静脉曲张，B 超、CT、MRI 检查可显示肝脾形态改变，了解门静脉及脾静脉内径大小，腹水量等。 </w:t>
            </w:r>
          </w:p>
          <w:p w14:paraId="18D7FCC7">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6. 肝穿刺活组织检查</w:t>
            </w:r>
            <w:r>
              <w:rPr>
                <w:rFonts w:hint="default" w:ascii="Times New Roman" w:hAnsi="宋体"/>
                <w:bCs/>
                <w:szCs w:val="20"/>
                <w:lang w:val="en-US" w:eastAsia="zh-CN"/>
              </w:rPr>
              <w:t xml:space="preserve"> 出现假小叶形成。 </w:t>
            </w:r>
          </w:p>
          <w:p w14:paraId="7ABD2CB8">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四、诊断</w:t>
            </w:r>
            <w:r>
              <w:rPr>
                <w:rFonts w:hint="default" w:ascii="Times New Roman" w:hAnsi="宋体"/>
                <w:bCs/>
                <w:szCs w:val="20"/>
                <w:lang w:val="en-US" w:eastAsia="zh-CN"/>
              </w:rPr>
              <w:t xml:space="preserve"> </w:t>
            </w:r>
          </w:p>
          <w:p w14:paraId="4FC64866">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根据病毒性肝炎史等病史及肝功能减退、门静脉高压的临床表现，肝活检病理有假小叶形成等可以确诊。</w:t>
            </w:r>
          </w:p>
          <w:p w14:paraId="30485D6F">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五、治疗</w:t>
            </w:r>
            <w:r>
              <w:rPr>
                <w:rFonts w:hint="default" w:ascii="Times New Roman" w:hAnsi="宋体"/>
                <w:bCs/>
                <w:szCs w:val="20"/>
                <w:lang w:val="en-US" w:eastAsia="zh-CN"/>
              </w:rPr>
              <w:t xml:space="preserve"> </w:t>
            </w:r>
          </w:p>
          <w:p w14:paraId="2AC4CDB5">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该病无特效治疗，关键是早期诊断，针对病因等采取综合治疗措施。 </w:t>
            </w:r>
          </w:p>
          <w:p w14:paraId="2D05B3E0">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1. 一般治疗</w:t>
            </w:r>
            <w:r>
              <w:rPr>
                <w:rFonts w:hint="default" w:ascii="Times New Roman" w:hAnsi="宋体"/>
                <w:bCs/>
                <w:szCs w:val="20"/>
                <w:lang w:val="en-US" w:eastAsia="zh-CN"/>
              </w:rPr>
              <w:t xml:space="preserve"> 代偿期患者，可参加力所能及的工作；失代偿期卧床休息。大量腹水者，采取半卧位。饮食以高热量、高蛋白、高维生素、低脂肪、易消化软食，忌吃粗糙过硬食物。 </w:t>
            </w:r>
          </w:p>
          <w:p w14:paraId="5B93B47D">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伴有水肿和腹水的患者应限制水和盐摄入。肝性脑病前期或血氨升高时，应限制蛋白在每日 30g 左右，肝性脑病时禁食蛋白质。禁烟，忌酒。 </w:t>
            </w:r>
          </w:p>
          <w:p w14:paraId="4A61CD74">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2. 药物治疗</w:t>
            </w:r>
            <w:r>
              <w:rPr>
                <w:rFonts w:hint="default" w:ascii="Times New Roman" w:hAnsi="宋体"/>
                <w:bCs/>
                <w:szCs w:val="20"/>
                <w:lang w:val="en-US" w:eastAsia="zh-CN"/>
              </w:rPr>
              <w:t xml:space="preserve"> 补充维生素 C、E 及 B 等各种维生素，改善肝细胞代谢，使用保护肝细胞的药物，如肝泰乐、维丙肝、肝宁、肌苷等。 </w:t>
            </w:r>
          </w:p>
          <w:p w14:paraId="700110DF">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3. 腹水治疗</w:t>
            </w:r>
            <w:r>
              <w:rPr>
                <w:rFonts w:hint="default" w:ascii="Times New Roman" w:hAnsi="宋体"/>
                <w:bCs/>
                <w:szCs w:val="20"/>
                <w:lang w:val="en-US" w:eastAsia="zh-CN"/>
              </w:rPr>
              <w:t xml:space="preserve"> 限制水钠的摄入，利尿剂与导泻，利尿不宜过快，腹腔穿刺放液及腹水浓缩回输。放腹水加输白蛋白，每次放腹水 4000 ～ 6000mL，同时输注白蛋白40 ～ 60g。 </w:t>
            </w:r>
          </w:p>
          <w:p w14:paraId="333A1444">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4. 食管胃底静脉曲张破裂出血的治疗 </w:t>
            </w:r>
          </w:p>
          <w:p w14:paraId="685CB3C6">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（1）一般治疗：卧床休息、禁食、严密观察患者生命体征、呕血及黑便情况。 </w:t>
            </w:r>
          </w:p>
          <w:p w14:paraId="0BCD1AD8">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（2）补充血容量：立即建立有效的静脉输液通道，尽快补充血容量。当出现失血性休克或血红蛋白低于 70g/L 时要紧急输血。 </w:t>
            </w:r>
          </w:p>
          <w:p w14:paraId="28EA3A1C">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（3）止血：①药物止血，尽早给以血管活性药物，如生 </w:t>
            </w:r>
          </w:p>
          <w:p w14:paraId="4D6223C0">
            <w:pPr>
              <w:keepNext w:val="0"/>
              <w:keepLines w:val="0"/>
              <w:widowControl/>
              <w:suppressLineNumbers w:val="0"/>
              <w:spacing w:before="0" w:beforeAutospacing="0" w:after="0" w:afterAutospacing="0"/>
              <w:ind w:left="0" w:right="0"/>
              <w:jc w:val="left"/>
              <w:rPr>
                <w:rFonts w:hint="default" w:ascii="Times New Roman" w:hAnsi="宋体"/>
                <w:bCs/>
                <w:szCs w:val="20"/>
                <w:lang w:val="en-US" w:eastAsia="zh-CN"/>
              </w:rPr>
            </w:pPr>
            <w:r>
              <w:rPr>
                <w:rFonts w:hint="default" w:ascii="Times New Roman" w:hAnsi="宋体"/>
                <w:bCs/>
                <w:szCs w:val="20"/>
                <w:lang w:val="en-US" w:eastAsia="zh-CN"/>
              </w:rPr>
              <w:t xml:space="preserve">长抑素、奥曲肽及抗利尿激素或垂体后叶素等。②三腔两囊管压迫止血，注气入胃囊（囊内压：50 </w:t>
            </w:r>
            <w:r>
              <w:rPr>
                <w:rFonts w:hint="eastAsia" w:ascii="Times New Roman" w:hAnsi="宋体"/>
                <w:bCs/>
                <w:szCs w:val="20"/>
                <w:lang w:val="en-US" w:eastAsia="zh-CN"/>
              </w:rPr>
              <w:t xml:space="preserve">～ </w:t>
            </w:r>
            <w:r>
              <w:rPr>
                <w:rFonts w:hint="default" w:ascii="Times New Roman" w:hAnsi="宋体"/>
                <w:bCs/>
                <w:szCs w:val="20"/>
                <w:lang w:val="en-US" w:eastAsia="zh-CN"/>
              </w:rPr>
              <w:t xml:space="preserve">70mmHg），向外加压牵引压迫胃底部；若未止血，再注气入食管囊（囊内压：35 </w:t>
            </w:r>
            <w:r>
              <w:rPr>
                <w:rFonts w:hint="eastAsia" w:ascii="Times New Roman" w:hAnsi="宋体"/>
                <w:bCs/>
                <w:szCs w:val="20"/>
                <w:lang w:val="en-US" w:eastAsia="zh-CN"/>
              </w:rPr>
              <w:t xml:space="preserve">～ </w:t>
            </w:r>
            <w:r>
              <w:rPr>
                <w:rFonts w:hint="default" w:ascii="Times New Roman" w:hAnsi="宋体"/>
                <w:bCs/>
                <w:szCs w:val="20"/>
                <w:lang w:val="en-US" w:eastAsia="zh-CN"/>
              </w:rPr>
              <w:t xml:space="preserve">45mmHg），压迫食管曲张静脉。为防止黏膜糜烂，一般持续压迫时间不超过 24 小时，放气解压一段时间。③内镜止血， 内镜直视下注射硬化剂至曲张的静脉，或用皮圈套扎曲张静脉。 </w:t>
            </w:r>
          </w:p>
          <w:p w14:paraId="6809AC27">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5. 门静脉高压症和手术治疗</w:t>
            </w:r>
            <w:r>
              <w:rPr>
                <w:rFonts w:hint="default" w:ascii="Times New Roman" w:hAnsi="宋体"/>
                <w:bCs/>
                <w:szCs w:val="20"/>
                <w:lang w:val="en-US" w:eastAsia="zh-CN"/>
              </w:rPr>
              <w:t xml:space="preserve"> 可根据病情选取分流、断流术和脾脏切除术等，从而降低门静脉系统压力和消除脾功能亢进。 </w:t>
            </w:r>
          </w:p>
          <w:p w14:paraId="72853263">
            <w:pPr>
              <w:keepNext w:val="0"/>
              <w:keepLines w:val="0"/>
              <w:widowControl/>
              <w:suppressLineNumbers w:val="0"/>
              <w:spacing w:before="0" w:beforeAutospacing="0" w:after="0" w:afterAutospacing="0"/>
              <w:ind w:left="0" w:right="0" w:firstLine="422" w:firstLineChars="200"/>
              <w:jc w:val="left"/>
              <w:rPr>
                <w:rFonts w:hint="default" w:ascii="方正书宋简体" w:hAnsi="方正书宋简体" w:eastAsia="方正书宋简体" w:cs="方正书宋简体"/>
                <w:color w:val="231F20"/>
                <w:kern w:val="0"/>
                <w:sz w:val="21"/>
                <w:szCs w:val="21"/>
                <w:lang w:val="en-US" w:eastAsia="zh-CN" w:bidi="ar"/>
              </w:rPr>
            </w:pPr>
            <w:r>
              <w:rPr>
                <w:rFonts w:hint="default" w:ascii="Times New Roman" w:hAnsi="宋体"/>
                <w:b/>
                <w:bCs w:val="0"/>
                <w:szCs w:val="20"/>
                <w:lang w:val="en-US" w:eastAsia="zh-CN"/>
              </w:rPr>
              <w:t xml:space="preserve">6. 肝移植 </w:t>
            </w:r>
            <w:r>
              <w:rPr>
                <w:rFonts w:hint="default" w:ascii="Times New Roman" w:hAnsi="宋体"/>
                <w:bCs/>
                <w:szCs w:val="20"/>
                <w:lang w:val="en-US" w:eastAsia="zh-CN"/>
              </w:rPr>
              <w:t>是终末期肝硬化治疗的最佳选择，掌握手术时机和尽可能充分做好术前准备，提高手术存活率。</w:t>
            </w:r>
          </w:p>
          <w:p w14:paraId="4B1BB62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Times New Roman" w:hAnsi="宋体"/>
                <w:b/>
                <w:bCs w:val="0"/>
                <w:szCs w:val="20"/>
                <w:lang w:val="en-US" w:eastAsia="zh-CN"/>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696" w:type="dxa"/>
            <w:tcBorders>
              <w:tl2br w:val="nil"/>
              <w:tr2bl w:val="nil"/>
            </w:tcBorders>
            <w:vAlign w:val="center"/>
          </w:tcPr>
          <w:p w14:paraId="4A206A7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宋体" w:hAnsi="宋体" w:eastAsia="宋体" w:cs="宋体"/>
                <w:b w:val="0"/>
                <w:bCs/>
                <w:kern w:val="2"/>
                <w:sz w:val="21"/>
                <w:szCs w:val="21"/>
                <w:lang w:val="en-US" w:eastAsia="zh-CN" w:bidi="ar"/>
              </w:rPr>
            </w:pPr>
            <w:r>
              <w:rPr>
                <w:rFonts w:hint="eastAsia" w:ascii="Times New Roman" w:hAnsi="Times New Roman"/>
                <w:b/>
                <w:szCs w:val="24"/>
              </w:rPr>
              <w:t>通过教师讲解，了解</w:t>
            </w:r>
            <w:r>
              <w:rPr>
                <w:rFonts w:hint="eastAsia" w:ascii="Times New Roman" w:hAnsi="Times New Roman"/>
                <w:b/>
                <w:szCs w:val="24"/>
                <w:lang w:val="en-US" w:eastAsia="zh-CN"/>
              </w:rPr>
              <w:t>肝硬化</w:t>
            </w:r>
            <w:r>
              <w:rPr>
                <w:rFonts w:hint="eastAsia" w:ascii="Times New Roman" w:hAnsi="Times New Roman"/>
                <w:b/>
                <w:szCs w:val="24"/>
              </w:rPr>
              <w:t>的基本理论知识。</w:t>
            </w:r>
          </w:p>
        </w:tc>
      </w:tr>
      <w:tr w14:paraId="1D4097BC">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276F21E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firstLine="240" w:firstLineChars="10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14:paraId="52DC44A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微软雅黑" w:hAnsi="微软雅黑" w:eastAsia="微软雅黑"/>
                <w:b/>
                <w:sz w:val="24"/>
                <w:szCs w:val="24"/>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7208" w:type="dxa"/>
            <w:tcBorders>
              <w:tl2br w:val="nil"/>
              <w:tr2bl w:val="nil"/>
            </w:tcBorders>
            <w:vAlign w:val="center"/>
          </w:tcPr>
          <w:p w14:paraId="3AD5F37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2AC3334A">
            <w:pPr>
              <w:keepNext w:val="0"/>
              <w:keepLines w:val="0"/>
              <w:widowControl/>
              <w:suppressLineNumbers w:val="0"/>
              <w:spacing w:before="0" w:beforeAutospacing="0" w:after="0" w:afterAutospacing="0"/>
              <w:ind w:left="0" w:leftChars="0" w:right="0" w:rightChars="0" w:firstLine="422" w:firstLineChars="200"/>
              <w:jc w:val="left"/>
              <w:rPr>
                <w:rFonts w:hint="default" w:ascii="Times New Roman" w:hAnsi="Times New Roman"/>
              </w:rPr>
            </w:pPr>
            <w:r>
              <w:rPr>
                <w:rFonts w:hint="eastAsia" w:ascii="宋体" w:hAnsi="宋体" w:eastAsia="宋体" w:cs="宋体"/>
                <w:b/>
                <w:bCs w:val="0"/>
                <w:kern w:val="2"/>
                <w:sz w:val="21"/>
                <w:szCs w:val="21"/>
                <w:lang w:val="en-US" w:eastAsia="zh-CN" w:bidi="ar"/>
              </w:rPr>
              <w:t>这节课我们一起学习了肝硬化，知道</w:t>
            </w:r>
            <w:r>
              <w:rPr>
                <w:rFonts w:hint="default" w:ascii="宋体" w:hAnsi="宋体" w:eastAsia="宋体" w:cs="宋体"/>
                <w:b/>
                <w:bCs w:val="0"/>
                <w:kern w:val="2"/>
                <w:sz w:val="21"/>
                <w:szCs w:val="21"/>
                <w:lang w:val="en-US" w:eastAsia="zh-CN" w:bidi="ar"/>
              </w:rPr>
              <w:t>是终末期肝硬化治疗的最佳选择，掌握手术时机和尽可能充分做好术前准备，提高手术存活率。</w:t>
            </w:r>
          </w:p>
        </w:tc>
        <w:tc>
          <w:tcPr>
            <w:tcW w:w="1696" w:type="dxa"/>
            <w:tcBorders>
              <w:tl2br w:val="nil"/>
              <w:tr2bl w:val="nil"/>
            </w:tcBorders>
            <w:vAlign w:val="center"/>
          </w:tcPr>
          <w:p w14:paraId="50012B3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宋体" w:hAnsi="宋体" w:eastAsia="宋体" w:cs="宋体"/>
                <w:b/>
                <w:bCs w:val="0"/>
                <w:kern w:val="2"/>
                <w:sz w:val="21"/>
                <w:szCs w:val="21"/>
                <w:lang w:val="en-US" w:eastAsia="zh-CN" w:bidi="ar"/>
              </w:rPr>
            </w:pPr>
            <w:r>
              <w:rPr>
                <w:rFonts w:hint="eastAsia" w:ascii="宋体" w:hAnsi="宋体" w:eastAsia="宋体" w:cs="宋体"/>
                <w:kern w:val="2"/>
                <w:sz w:val="21"/>
                <w:szCs w:val="21"/>
                <w:lang w:val="en-US" w:eastAsia="zh-CN" w:bidi="ar"/>
              </w:rPr>
              <w:t>通过对所学知识的回顾，培养学生的归纳总结能力</w:t>
            </w:r>
          </w:p>
        </w:tc>
      </w:tr>
      <w:tr w14:paraId="3907906C">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29F66EA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rightChars="0"/>
              <w:jc w:val="both"/>
              <w:textAlignment w:val="auto"/>
              <w:rPr>
                <w:rFonts w:hint="eastAsia" w:ascii="微软雅黑" w:hAnsi="微软雅黑" w:eastAsia="微软雅黑" w:cs="微软雅黑"/>
                <w:b/>
                <w:bCs w:val="0"/>
                <w:kern w:val="2"/>
                <w:sz w:val="24"/>
                <w:szCs w:val="24"/>
                <w:lang w:val="en-US" w:eastAsia="zh-CN" w:bidi="ar"/>
              </w:rPr>
            </w:pPr>
            <w:r>
              <w:rPr>
                <w:rFonts w:hint="eastAsia" w:ascii="微软雅黑" w:hAnsi="微软雅黑" w:eastAsia="微软雅黑" w:cs="微软雅黑"/>
                <w:b/>
                <w:bCs w:val="0"/>
                <w:kern w:val="2"/>
                <w:sz w:val="24"/>
                <w:szCs w:val="24"/>
                <w:lang w:val="en-US" w:eastAsia="zh-CN" w:bidi="ar"/>
              </w:rPr>
              <w:t>作业布置</w:t>
            </w:r>
          </w:p>
          <w:p w14:paraId="6103813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微软雅黑" w:hAnsi="微软雅黑" w:eastAsia="微软雅黑"/>
                <w:b/>
                <w:sz w:val="24"/>
                <w:szCs w:val="24"/>
              </w:rPr>
            </w:pP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7208" w:type="dxa"/>
            <w:tcBorders>
              <w:tl2br w:val="nil"/>
              <w:tr2bl w:val="nil"/>
            </w:tcBorders>
            <w:vAlign w:val="center"/>
          </w:tcPr>
          <w:p w14:paraId="2183630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5BB59E6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default" w:ascii="Times New Roman" w:hAnsi="Times New Roman"/>
              </w:rPr>
            </w:pPr>
            <w:r>
              <w:rPr>
                <w:rFonts w:hint="eastAsia" w:ascii="Times New Roman" w:hAnsi="宋体"/>
                <w:b/>
                <w:bCs w:val="0"/>
                <w:szCs w:val="20"/>
                <w:lang w:val="en-US" w:eastAsia="zh-CN"/>
              </w:rPr>
              <w:t>简述</w:t>
            </w:r>
            <w:r>
              <w:rPr>
                <w:rFonts w:hint="default" w:ascii="Times New Roman" w:hAnsi="宋体"/>
                <w:b/>
                <w:bCs w:val="0"/>
                <w:szCs w:val="20"/>
                <w:lang w:val="en-US" w:eastAsia="zh-CN"/>
              </w:rPr>
              <w:t>门静脉高压症和手术治疗</w:t>
            </w:r>
            <w:r>
              <w:rPr>
                <w:rFonts w:hint="eastAsia" w:ascii="Times New Roman" w:hAnsi="宋体"/>
                <w:b/>
                <w:bCs w:val="0"/>
                <w:szCs w:val="20"/>
                <w:lang w:val="en-US" w:eastAsia="zh-CN"/>
              </w:rPr>
              <w:t>。</w:t>
            </w:r>
          </w:p>
        </w:tc>
        <w:tc>
          <w:tcPr>
            <w:tcW w:w="1696" w:type="dxa"/>
            <w:tcBorders>
              <w:tl2br w:val="nil"/>
              <w:tr2bl w:val="nil"/>
            </w:tcBorders>
            <w:vAlign w:val="center"/>
          </w:tcPr>
          <w:p w14:paraId="239C821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宋体"/>
                <w:b/>
                <w:bCs w:val="0"/>
                <w:szCs w:val="20"/>
                <w:lang w:val="en-US" w:eastAsia="zh-CN"/>
              </w:rPr>
            </w:pPr>
            <w:r>
              <w:rPr>
                <w:rFonts w:hint="eastAsia" w:ascii="宋体" w:hAnsi="宋体" w:eastAsia="宋体" w:cs="宋体"/>
                <w:b w:val="0"/>
                <w:bCs/>
                <w:kern w:val="2"/>
                <w:sz w:val="21"/>
                <w:szCs w:val="21"/>
                <w:lang w:val="en-US" w:eastAsia="zh-CN" w:bidi="ar"/>
              </w:rPr>
              <w:t>通过课后练习，使学生巩固所学新知识</w:t>
            </w:r>
          </w:p>
        </w:tc>
      </w:tr>
      <w:tr w14:paraId="5E737801">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3509B09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584DAA7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textAlignment w:val="auto"/>
              <w:rPr>
                <w:rFonts w:hint="eastAsia" w:ascii="微软雅黑" w:hAnsi="微软雅黑" w:eastAsia="微软雅黑"/>
                <w:b/>
                <w:sz w:val="24"/>
                <w:szCs w:val="24"/>
              </w:rPr>
            </w:pPr>
            <w:r>
              <w:rPr>
                <w:rFonts w:hint="default" w:ascii="Times New Roman" w:hAnsi="Times New Roman"/>
                <w:szCs w:val="24"/>
              </w:rPr>
              <w:t>（40</w:t>
            </w:r>
            <w:r>
              <w:rPr>
                <w:rFonts w:hint="eastAsia" w:ascii="Times New Roman" w:hAnsi="Times New Roman"/>
                <w:szCs w:val="24"/>
              </w:rPr>
              <w:t>min）</w:t>
            </w:r>
          </w:p>
        </w:tc>
        <w:tc>
          <w:tcPr>
            <w:tcW w:w="7208" w:type="dxa"/>
            <w:tcBorders>
              <w:tl2br w:val="nil"/>
              <w:tr2bl w:val="nil"/>
            </w:tcBorders>
            <w:vAlign w:val="center"/>
          </w:tcPr>
          <w:p w14:paraId="5A3ABDD9">
            <w:pPr>
              <w:keepNext w:val="0"/>
              <w:keepLines w:val="0"/>
              <w:widowControl/>
              <w:suppressLineNumbers w:val="0"/>
              <w:spacing w:before="0" w:beforeAutospacing="0" w:after="0" w:afterAutospacing="0"/>
              <w:ind w:left="0" w:right="0"/>
              <w:jc w:val="left"/>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展示肝性脑病</w:t>
            </w:r>
          </w:p>
          <w:p w14:paraId="0D04D591">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肝性脑病是由严重肝脏疾病引起的以代谢紊乱为基础的中枢神经系统功能失调综合征。以意识障碍、行为异常和昏迷为主要临床表现。 </w:t>
            </w:r>
          </w:p>
          <w:p w14:paraId="6DDCFDE5">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一、病因和发病机制 </w:t>
            </w:r>
          </w:p>
          <w:p w14:paraId="44535972">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（一）病因和诱因 </w:t>
            </w:r>
          </w:p>
          <w:p w14:paraId="20947D0B">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在肝性脑病病因中各型肝硬化占 70%，特别是病毒性肝炎肝硬化为最常见。其他病因有重症病毒性肝炎、中毒性肝炎、药物性肝炎等。肝性脑病的主要诱因有上消化道出血、高蛋白饮食、大量排钾利尿、放腹水镇静剂、止痛剂、麻醉药、外科手术等。 </w:t>
            </w:r>
          </w:p>
          <w:p w14:paraId="165DB11D">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（二）发病机制 </w:t>
            </w:r>
          </w:p>
          <w:p w14:paraId="5825946C">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肝性脑病的发病机制尚未明确。目前支持最多的是氨中毒学说。氨是促发肝性脑病的神经毒素。血氨主要来源于肠道含氨物质的分解代谢和肠菌的合成，当肝功能减退时肝脏对氨的处理能力下降，氨生成增多，排出减少，引起血氨增高。血氨透过血脑屏障进入脑，干扰脑细胞三羟酸循环及神经细胞的电活动引起肝性脑病。 此外还有假性神经递质学说、氨基酸代谢不平衡学说等。</w:t>
            </w:r>
          </w:p>
          <w:p w14:paraId="63831B2E">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二、临床表现 </w:t>
            </w:r>
          </w:p>
          <w:p w14:paraId="6F8DF8CA">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根据意识障碍、神经系统表现和脑电图改变，肝性脑病临床过程可分为 </w:t>
            </w:r>
            <w:r>
              <w:rPr>
                <w:rFonts w:hint="eastAsia" w:ascii="Times New Roman" w:hAnsi="宋体"/>
                <w:bCs/>
                <w:szCs w:val="20"/>
                <w:lang w:val="en-US" w:eastAsia="zh-CN"/>
              </w:rPr>
              <w:t>0</w:t>
            </w:r>
            <w:r>
              <w:rPr>
                <w:rFonts w:hint="default" w:ascii="Times New Roman" w:hAnsi="宋体"/>
                <w:bCs/>
                <w:szCs w:val="20"/>
                <w:lang w:val="en-US" w:eastAsia="zh-CN"/>
              </w:rPr>
              <w:t>、Ⅰ、Ⅱ、Ⅲ、Ⅳ 5 期，</w:t>
            </w:r>
            <w:r>
              <w:rPr>
                <w:rFonts w:hint="eastAsia" w:ascii="Times New Roman" w:hAnsi="宋体"/>
                <w:bCs/>
                <w:szCs w:val="20"/>
                <w:lang w:val="en-US" w:eastAsia="zh-CN"/>
              </w:rPr>
              <w:t xml:space="preserve">0 </w:t>
            </w:r>
            <w:r>
              <w:rPr>
                <w:rFonts w:hint="default" w:ascii="Times New Roman" w:hAnsi="宋体"/>
                <w:bCs/>
                <w:szCs w:val="20"/>
                <w:lang w:val="en-US" w:eastAsia="zh-CN"/>
              </w:rPr>
              <w:t>期又称轻微肝性脑病，通常没有精神神经异常表现，通过神经心理智能测验能发现，Ⅰ</w:t>
            </w:r>
            <w:r>
              <w:rPr>
                <w:rFonts w:hint="eastAsia" w:ascii="Times New Roman" w:hAnsi="宋体"/>
                <w:bCs/>
                <w:szCs w:val="20"/>
                <w:lang w:val="en-US" w:eastAsia="zh-CN"/>
              </w:rPr>
              <w:t>～</w:t>
            </w:r>
            <w:r>
              <w:rPr>
                <w:rFonts w:hint="default" w:ascii="Times New Roman" w:hAnsi="宋体"/>
                <w:bCs/>
                <w:szCs w:val="20"/>
                <w:lang w:val="en-US" w:eastAsia="zh-CN"/>
              </w:rPr>
              <w:t>Ⅳ期症状由轻到重，见表 7-2。</w:t>
            </w:r>
          </w:p>
          <w:p w14:paraId="07530304">
            <w:pPr>
              <w:keepNext w:val="0"/>
              <w:keepLines w:val="0"/>
              <w:widowControl/>
              <w:suppressLineNumbers w:val="0"/>
              <w:spacing w:before="0" w:beforeAutospacing="0" w:after="0" w:afterAutospacing="0"/>
              <w:ind w:left="0" w:right="0"/>
              <w:jc w:val="left"/>
              <w:rPr>
                <w:rFonts w:hint="default" w:ascii="Times New Roman" w:hAnsi="宋体"/>
                <w:bCs/>
                <w:szCs w:val="20"/>
                <w:lang w:val="en-US" w:eastAsia="zh-CN"/>
              </w:rPr>
            </w:pPr>
            <w:r>
              <w:rPr>
                <w:rFonts w:hint="default" w:ascii="Times New Roman" w:hAnsi="宋体"/>
                <w:bCs/>
                <w:szCs w:val="20"/>
                <w:lang w:val="en-US" w:eastAsia="zh-CN"/>
              </w:rPr>
              <w:drawing>
                <wp:inline distT="0" distB="0" distL="114300" distR="114300">
                  <wp:extent cx="3548380" cy="1386840"/>
                  <wp:effectExtent l="0" t="0" r="2540" b="0"/>
                  <wp:docPr id="4" name="图片 4" descr="1712111542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712111542063"/>
                          <pic:cNvPicPr>
                            <a:picLocks noChangeAspect="1"/>
                          </pic:cNvPicPr>
                        </pic:nvPicPr>
                        <pic:blipFill>
                          <a:blip r:embed="rId7"/>
                          <a:stretch>
                            <a:fillRect/>
                          </a:stretch>
                        </pic:blipFill>
                        <pic:spPr>
                          <a:xfrm>
                            <a:off x="0" y="0"/>
                            <a:ext cx="3548380" cy="1386840"/>
                          </a:xfrm>
                          <a:prstGeom prst="rect">
                            <a:avLst/>
                          </a:prstGeom>
                        </pic:spPr>
                      </pic:pic>
                    </a:graphicData>
                  </a:graphic>
                </wp:inline>
              </w:drawing>
            </w:r>
          </w:p>
          <w:p w14:paraId="405E119E">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三、辅助检查 </w:t>
            </w:r>
          </w:p>
          <w:p w14:paraId="2650B3AF">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1. 血氨</w:t>
            </w:r>
            <w:r>
              <w:rPr>
                <w:rFonts w:hint="default" w:ascii="Times New Roman" w:hAnsi="宋体"/>
                <w:bCs/>
                <w:szCs w:val="20"/>
                <w:lang w:val="en-US" w:eastAsia="zh-CN"/>
              </w:rPr>
              <w:t xml:space="preserve"> 40 ～ 70μg/dl，急性多正常，慢性多增加。 </w:t>
            </w:r>
          </w:p>
          <w:p w14:paraId="2C8F8992">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2. 脑电图检查</w:t>
            </w:r>
            <w:r>
              <w:rPr>
                <w:rFonts w:hint="default" w:ascii="Times New Roman" w:hAnsi="宋体"/>
                <w:bCs/>
                <w:szCs w:val="20"/>
                <w:lang w:val="en-US" w:eastAsia="zh-CN"/>
              </w:rPr>
              <w:t xml:space="preserve"> 节律变慢，出现 4 ～ 7/s 的 δ 波或三相波。 </w:t>
            </w:r>
          </w:p>
          <w:p w14:paraId="586536DD">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3. 诱发电位</w:t>
            </w:r>
            <w:r>
              <w:rPr>
                <w:rFonts w:hint="default" w:ascii="Times New Roman" w:hAnsi="宋体"/>
                <w:bCs/>
                <w:szCs w:val="20"/>
                <w:lang w:val="en-US" w:eastAsia="zh-CN"/>
              </w:rPr>
              <w:t xml:space="preserve"> SEP（躯体感觉诱发电位） 可用于轻微肝性脑病的诊断和研究。 </w:t>
            </w:r>
          </w:p>
          <w:p w14:paraId="1754BEB8">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4. 心理智能测验</w:t>
            </w:r>
            <w:r>
              <w:rPr>
                <w:rFonts w:hint="default" w:ascii="Times New Roman" w:hAnsi="宋体"/>
                <w:bCs/>
                <w:szCs w:val="20"/>
                <w:lang w:val="en-US" w:eastAsia="zh-CN"/>
              </w:rPr>
              <w:t xml:space="preserve"> 对于诊断早期肝性脑病包括亚临床肝性脑病最有用，常用数字连接试验和符号连接试验。 </w:t>
            </w:r>
          </w:p>
          <w:p w14:paraId="4C95D9F5">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四、诊断要点</w:t>
            </w:r>
            <w:r>
              <w:rPr>
                <w:rFonts w:hint="default" w:ascii="Times New Roman" w:hAnsi="宋体"/>
                <w:bCs/>
                <w:szCs w:val="20"/>
                <w:lang w:val="en-US" w:eastAsia="zh-CN"/>
              </w:rPr>
              <w:t xml:space="preserve"> </w:t>
            </w:r>
          </w:p>
          <w:p w14:paraId="06DCE757">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严重肝病和（或）广泛门—体静脉侧支循环；或存在诱发因素患者出现精神错乱、昏睡或昏迷；肝性脑病的诱因 ；明显肝功能损害、血氨增高；扑翼样震颤和典型脑电图改变，可作出诊断。 </w:t>
            </w:r>
          </w:p>
          <w:p w14:paraId="7EA3B2D1">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五、治疗</w:t>
            </w:r>
            <w:r>
              <w:rPr>
                <w:rFonts w:hint="default" w:ascii="Times New Roman" w:hAnsi="宋体"/>
                <w:bCs/>
                <w:szCs w:val="20"/>
                <w:lang w:val="en-US" w:eastAsia="zh-CN"/>
              </w:rPr>
              <w:t xml:space="preserve"> </w:t>
            </w:r>
          </w:p>
          <w:p w14:paraId="29ECA747">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1. 及早去除肝性脑病诱因 纠正电解质和酸碱平衡紊乱，止血和清除肠道积血，预防和控制感染，慎用镇静药物和肝损害药物。 </w:t>
            </w:r>
          </w:p>
          <w:p w14:paraId="21EDFD82">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2. 营养支持治疗</w:t>
            </w:r>
            <w:r>
              <w:rPr>
                <w:rFonts w:hint="default" w:ascii="Times New Roman" w:hAnsi="宋体"/>
                <w:bCs/>
                <w:szCs w:val="20"/>
                <w:lang w:val="en-US" w:eastAsia="zh-CN"/>
              </w:rPr>
              <w:t xml:space="preserve"> 昏迷期禁食蛋白质，供给足量维生素，脂肪宜少进，以碳水化合物为主。神志清醒后逐渐增加蛋白质量，日进 20g，后可每日增加 10g，但每日总量不超出 40 ～ 50g，以植物蛋白为主。 </w:t>
            </w:r>
          </w:p>
          <w:p w14:paraId="15264F84">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3. 减少肠道内毒物的生成吸收</w:t>
            </w:r>
            <w:r>
              <w:rPr>
                <w:rFonts w:hint="default" w:ascii="Times New Roman" w:hAnsi="宋体"/>
                <w:bCs/>
                <w:szCs w:val="20"/>
                <w:lang w:val="en-US" w:eastAsia="zh-CN"/>
              </w:rPr>
              <w:t xml:space="preserve"> a 限制蛋白质摄入。b 酸化肠腔，灌肠导泻：生理盐水、弱酸性溶液、乳果糖。c 抑制肠道菌群的生长。 </w:t>
            </w:r>
          </w:p>
          <w:p w14:paraId="1F86ABFC">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4. 促进有毒物质的清除，纠正氨基酸的失衡</w:t>
            </w:r>
            <w:r>
              <w:rPr>
                <w:rFonts w:hint="default" w:ascii="Times New Roman" w:hAnsi="宋体"/>
                <w:bCs/>
                <w:szCs w:val="20"/>
                <w:lang w:val="en-US" w:eastAsia="zh-CN"/>
              </w:rPr>
              <w:t xml:space="preserve"> </w:t>
            </w:r>
          </w:p>
          <w:p w14:paraId="57A9AAD5">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（1）降低血氨：肠道抗生素、乳果糖、谷氨酸、精氨酸等。</w:t>
            </w:r>
          </w:p>
          <w:p w14:paraId="4AAF5CC4">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（2）口服或静注以支链氨基酸为主的氨基酸混合液。 </w:t>
            </w:r>
          </w:p>
          <w:p w14:paraId="6F049072">
            <w:pPr>
              <w:keepNext w:val="0"/>
              <w:keepLines w:val="0"/>
              <w:widowControl/>
              <w:suppressLineNumbers w:val="0"/>
              <w:spacing w:before="0" w:beforeAutospacing="0" w:after="0" w:afterAutospacing="0"/>
              <w:ind w:left="0" w:right="0" w:firstLine="422" w:firstLineChars="200"/>
              <w:jc w:val="left"/>
              <w:rPr>
                <w:rFonts w:hint="default" w:ascii="方正书宋简体" w:hAnsi="方正书宋简体" w:eastAsia="方正书宋简体" w:cs="方正书宋简体"/>
                <w:color w:val="231F20"/>
                <w:kern w:val="0"/>
                <w:sz w:val="21"/>
                <w:szCs w:val="21"/>
                <w:lang w:val="en-US" w:eastAsia="zh-CN" w:bidi="ar"/>
              </w:rPr>
            </w:pPr>
            <w:r>
              <w:rPr>
                <w:rFonts w:hint="default" w:ascii="Times New Roman" w:hAnsi="宋体"/>
                <w:b/>
                <w:bCs w:val="0"/>
                <w:szCs w:val="20"/>
                <w:lang w:val="en-US" w:eastAsia="zh-CN"/>
              </w:rPr>
              <w:t xml:space="preserve">5. 其他 </w:t>
            </w:r>
            <w:r>
              <w:rPr>
                <w:rFonts w:hint="default" w:ascii="Times New Roman" w:hAnsi="宋体"/>
                <w:bCs/>
                <w:szCs w:val="20"/>
                <w:lang w:val="en-US" w:eastAsia="zh-CN"/>
              </w:rPr>
              <w:t>纠正酸碱失衡，防治脑水肿，出血与休克，进行血透或腹透，保持呼吸道通畅，保护脑细胞。</w:t>
            </w:r>
          </w:p>
          <w:p w14:paraId="2BE0DF7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jc w:val="both"/>
              <w:textAlignment w:val="auto"/>
              <w:rPr>
                <w:rFonts w:hint="default" w:ascii="Times New Roman" w:hAnsi="Times New Roman"/>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696" w:type="dxa"/>
            <w:tcBorders>
              <w:tl2br w:val="nil"/>
              <w:tr2bl w:val="nil"/>
            </w:tcBorders>
            <w:vAlign w:val="center"/>
          </w:tcPr>
          <w:p w14:paraId="5D4FE1A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default" w:ascii="Times New Roman" w:hAnsi="Times New Roman"/>
              </w:rPr>
            </w:pPr>
            <w:r>
              <w:rPr>
                <w:rFonts w:hint="eastAsia" w:ascii="Times New Roman" w:hAnsi="Times New Roman"/>
                <w:b/>
                <w:szCs w:val="24"/>
              </w:rPr>
              <w:t>通过教师讲解，了解</w:t>
            </w:r>
            <w:r>
              <w:rPr>
                <w:rFonts w:hint="eastAsia" w:ascii="Times New Roman" w:hAnsi="Times New Roman"/>
                <w:b/>
                <w:szCs w:val="24"/>
                <w:lang w:val="en-US" w:eastAsia="zh-CN"/>
              </w:rPr>
              <w:t>肝性脑病</w:t>
            </w:r>
            <w:r>
              <w:rPr>
                <w:rFonts w:hint="eastAsia" w:ascii="Times New Roman" w:hAnsi="Times New Roman"/>
                <w:b/>
                <w:szCs w:val="24"/>
              </w:rPr>
              <w:t>的基本理论知识。</w:t>
            </w:r>
          </w:p>
        </w:tc>
      </w:tr>
      <w:tr w14:paraId="5DF681A5">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1BD0B8F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14:paraId="50EB114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微软雅黑" w:hAnsi="微软雅黑" w:eastAsia="微软雅黑"/>
                <w:b/>
                <w:sz w:val="24"/>
                <w:szCs w:val="24"/>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7208" w:type="dxa"/>
            <w:tcBorders>
              <w:tl2br w:val="nil"/>
              <w:tr2bl w:val="nil"/>
            </w:tcBorders>
            <w:vAlign w:val="center"/>
          </w:tcPr>
          <w:p w14:paraId="4B0AD08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2F4F299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default" w:ascii="Times New Roman" w:hAnsi="Times New Roman"/>
              </w:rPr>
            </w:pPr>
            <w:r>
              <w:rPr>
                <w:rFonts w:hint="eastAsia" w:ascii="宋体" w:hAnsi="宋体" w:eastAsia="宋体" w:cs="宋体"/>
                <w:b/>
                <w:bCs w:val="0"/>
                <w:kern w:val="2"/>
                <w:sz w:val="21"/>
                <w:szCs w:val="21"/>
                <w:lang w:val="en-US" w:eastAsia="zh-CN" w:bidi="ar"/>
              </w:rPr>
              <w:t>这节课我们一起学习了肝性脑病，知道</w:t>
            </w:r>
            <w:r>
              <w:rPr>
                <w:rFonts w:hint="default" w:ascii="宋体" w:hAnsi="宋体" w:eastAsia="宋体" w:cs="宋体"/>
                <w:b/>
                <w:bCs w:val="0"/>
                <w:kern w:val="2"/>
                <w:sz w:val="21"/>
                <w:szCs w:val="21"/>
                <w:lang w:val="en-US" w:eastAsia="zh-CN" w:bidi="ar"/>
              </w:rPr>
              <w:t>纠正酸碱失衡，防治脑水肿，出血与休克，进行血透或腹透，保持呼吸道通畅，保护脑细胞。</w:t>
            </w:r>
          </w:p>
        </w:tc>
        <w:tc>
          <w:tcPr>
            <w:tcW w:w="1696" w:type="dxa"/>
            <w:tcBorders>
              <w:tl2br w:val="nil"/>
              <w:tr2bl w:val="nil"/>
            </w:tcBorders>
            <w:vAlign w:val="center"/>
          </w:tcPr>
          <w:p w14:paraId="638DBF0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default" w:ascii="Times New Roman" w:hAnsi="Times New Roman"/>
              </w:rPr>
            </w:pPr>
            <w:r>
              <w:rPr>
                <w:rFonts w:hint="eastAsia" w:ascii="宋体" w:hAnsi="宋体" w:eastAsia="宋体" w:cs="宋体"/>
                <w:kern w:val="2"/>
                <w:sz w:val="21"/>
                <w:szCs w:val="21"/>
                <w:lang w:val="en-US" w:eastAsia="zh-CN" w:bidi="ar"/>
              </w:rPr>
              <w:t>通过对所学知识的回顾，培养学生的归纳总结能力</w:t>
            </w:r>
          </w:p>
        </w:tc>
      </w:tr>
      <w:tr w14:paraId="0DF8EDDE">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55006A9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微软雅黑" w:hAnsi="微软雅黑" w:eastAsia="微软雅黑"/>
                <w:b/>
                <w:sz w:val="24"/>
                <w:szCs w:val="24"/>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7208" w:type="dxa"/>
            <w:tcBorders>
              <w:tl2br w:val="nil"/>
              <w:tr2bl w:val="nil"/>
            </w:tcBorders>
            <w:vAlign w:val="center"/>
          </w:tcPr>
          <w:p w14:paraId="2D0375B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541C9FB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default" w:ascii="Times New Roman" w:hAnsi="Times New Roman"/>
              </w:rPr>
            </w:pPr>
            <w:r>
              <w:rPr>
                <w:rFonts w:hint="eastAsia" w:ascii="Times New Roman" w:hAnsi="宋体"/>
                <w:b/>
                <w:bCs w:val="0"/>
                <w:szCs w:val="20"/>
                <w:lang w:val="en-US" w:eastAsia="zh-CN"/>
              </w:rPr>
              <w:t>简述</w:t>
            </w:r>
            <w:r>
              <w:rPr>
                <w:rFonts w:hint="default" w:ascii="Times New Roman" w:hAnsi="宋体"/>
                <w:b/>
                <w:bCs w:val="0"/>
                <w:szCs w:val="20"/>
                <w:lang w:val="en-US" w:eastAsia="zh-CN"/>
              </w:rPr>
              <w:t>病因和发病机制</w:t>
            </w:r>
            <w:r>
              <w:rPr>
                <w:rFonts w:hint="eastAsia" w:ascii="Times New Roman" w:hAnsi="宋体"/>
                <w:b/>
                <w:bCs w:val="0"/>
                <w:szCs w:val="20"/>
                <w:lang w:val="en-US" w:eastAsia="zh-CN"/>
              </w:rPr>
              <w:t>。</w:t>
            </w:r>
            <w:r>
              <w:rPr>
                <w:rFonts w:hint="default" w:ascii="Times New Roman" w:hAnsi="宋体"/>
                <w:b/>
                <w:bCs w:val="0"/>
                <w:szCs w:val="20"/>
                <w:lang w:val="en-US" w:eastAsia="zh-CN"/>
              </w:rPr>
              <w:t xml:space="preserve"> </w:t>
            </w:r>
          </w:p>
        </w:tc>
        <w:tc>
          <w:tcPr>
            <w:tcW w:w="1696" w:type="dxa"/>
            <w:tcBorders>
              <w:tl2br w:val="nil"/>
              <w:tr2bl w:val="nil"/>
            </w:tcBorders>
            <w:vAlign w:val="center"/>
          </w:tcPr>
          <w:p w14:paraId="19C497A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default" w:ascii="Times New Roman" w:hAnsi="Times New Roman"/>
              </w:rPr>
            </w:pPr>
            <w:r>
              <w:rPr>
                <w:rFonts w:hint="eastAsia" w:ascii="宋体" w:hAnsi="宋体" w:eastAsia="宋体" w:cs="宋体"/>
                <w:b w:val="0"/>
                <w:bCs/>
                <w:kern w:val="2"/>
                <w:sz w:val="21"/>
                <w:szCs w:val="21"/>
                <w:lang w:val="en-US" w:eastAsia="zh-CN" w:bidi="ar"/>
              </w:rPr>
              <w:t>通过课后练习，使学生巩固所学新知识</w:t>
            </w:r>
          </w:p>
        </w:tc>
      </w:tr>
      <w:tr w14:paraId="77B8ADF4">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1E5B6727">
            <w:pPr>
              <w:keepNext w:val="0"/>
              <w:keepLines w:val="0"/>
              <w:suppressLineNumbers w:val="0"/>
              <w:spacing w:before="0" w:beforeAutospacing="0" w:after="0" w:afterAutospacing="0" w:line="360" w:lineRule="auto"/>
              <w:ind w:left="0" w:right="0"/>
              <w:jc w:val="center"/>
              <w:rPr>
                <w:rFonts w:hint="default" w:ascii="微软雅黑" w:hAnsi="微软雅黑" w:eastAsia="微软雅黑"/>
                <w:b/>
                <w:sz w:val="24"/>
                <w:szCs w:val="24"/>
              </w:rPr>
            </w:pPr>
            <w:r>
              <w:rPr>
                <w:rFonts w:hint="eastAsia" w:ascii="微软雅黑" w:hAnsi="微软雅黑" w:eastAsia="微软雅黑"/>
                <w:b/>
                <w:sz w:val="24"/>
                <w:szCs w:val="24"/>
              </w:rPr>
              <w:t>教学反思</w:t>
            </w:r>
          </w:p>
        </w:tc>
        <w:tc>
          <w:tcPr>
            <w:tcW w:w="8904" w:type="dxa"/>
            <w:gridSpan w:val="2"/>
            <w:tcBorders>
              <w:tl2br w:val="nil"/>
              <w:tr2bl w:val="nil"/>
            </w:tcBorders>
            <w:shd w:val="clear" w:color="auto" w:fill="auto"/>
            <w:vAlign w:val="center"/>
          </w:tcPr>
          <w:p w14:paraId="023B54B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textAlignment w:val="auto"/>
              <w:rPr>
                <w:rFonts w:hint="default" w:ascii="Times New Roman" w:hAnsi="Times New Roman" w:eastAsia="宋体" w:cs="Times New Roman"/>
                <w:kern w:val="2"/>
                <w:sz w:val="21"/>
                <w:szCs w:val="22"/>
                <w:lang w:val="en-US" w:eastAsia="zh-CN" w:bidi="ar-SA"/>
              </w:rPr>
            </w:pPr>
            <w:r>
              <w:rPr>
                <w:rFonts w:hint="default" w:ascii="Times New Roman" w:hAnsi="Times New Roman"/>
              </w:rPr>
              <w:t>学生以无意注意为主，如何利用这个特点，帮助学生保持注意力？教师可以借助声音、图片、动画等形式去吸引学生，同时别忘记有意识地培养学生有意注意的意识。</w:t>
            </w:r>
          </w:p>
        </w:tc>
      </w:tr>
    </w:tbl>
    <w:p w14:paraId="2B3177C1"/>
    <w:sectPr>
      <w:pgSz w:w="11906" w:h="16838"/>
      <w:pgMar w:top="567" w:right="170" w:bottom="850" w:left="170" w:header="567" w:footer="850"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宋黑_GBK">
    <w:altName w:val="宋体"/>
    <w:panose1 w:val="03000509000000000000"/>
    <w:charset w:val="86"/>
    <w:family w:val="script"/>
    <w:pitch w:val="default"/>
    <w:sig w:usb0="00000000" w:usb1="00000000" w:usb2="00000000" w:usb3="00000000" w:csb0="00040000" w:csb1="00000000"/>
  </w:font>
  <w:font w:name="Calibri Light">
    <w:panose1 w:val="020F03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PinYinok">
    <w:altName w:val="Segoe Print"/>
    <w:panose1 w:val="020B0603050302020204"/>
    <w:charset w:val="00"/>
    <w:family w:val="swiss"/>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微软简老宋">
    <w:altName w:val="宋体"/>
    <w:panose1 w:val="00000000000000000000"/>
    <w:charset w:val="00"/>
    <w:family w:val="auto"/>
    <w:pitch w:val="default"/>
    <w:sig w:usb0="00000000" w:usb1="00000000" w:usb2="00000000" w:usb3="00000000" w:csb0="00000000" w:csb1="00000000"/>
  </w:font>
  <w:font w:name="微软雅黑">
    <w:panose1 w:val="020B0503020204020204"/>
    <w:charset w:val="86"/>
    <w:family w:val="auto"/>
    <w:pitch w:val="default"/>
    <w:sig w:usb0="80000287" w:usb1="2ACF3C50" w:usb2="00000016" w:usb3="00000000" w:csb0="0004001F" w:csb1="00000000"/>
  </w:font>
  <w:font w:name="方正书宋简体">
    <w:altName w:val="宋体"/>
    <w:panose1 w:val="00000000000000000000"/>
    <w:charset w:val="00"/>
    <w:family w:val="auto"/>
    <w:pitch w:val="default"/>
    <w:sig w:usb0="00000000" w:usb1="00000000" w:usb2="00000000" w:usb3="00000000" w:csb0="00000000"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9C28E3C">
    <w:pPr>
      <w:pStyle w:val="9"/>
      <w:pBdr>
        <w:bottom w:val="none" w:color="auto" w:sz="0" w:space="1"/>
      </w:pBdr>
      <w:rPr>
        <w:rFonts w:hint="eastAsia" w:eastAsia="宋体"/>
        <w:lang w:eastAsia="zh-CN"/>
      </w:rPr>
    </w:pPr>
    <w:r>
      <w:rPr>
        <w:sz w:val="18"/>
      </w:rPr>
      <mc:AlternateContent>
        <mc:Choice Requires="wps">
          <w:drawing>
            <wp:anchor distT="0" distB="0" distL="114300" distR="114300" simplePos="0" relativeHeight="251661312" behindDoc="0" locked="0" layoutInCell="1" allowOverlap="1">
              <wp:simplePos x="0" y="0"/>
              <wp:positionH relativeFrom="column">
                <wp:posOffset>249555</wp:posOffset>
              </wp:positionH>
              <wp:positionV relativeFrom="paragraph">
                <wp:posOffset>5715</wp:posOffset>
              </wp:positionV>
              <wp:extent cx="6840220" cy="9972040"/>
              <wp:effectExtent l="6350" t="6350" r="11430" b="22860"/>
              <wp:wrapNone/>
              <wp:docPr id="8" name="矩形 8"/>
              <wp:cNvGraphicFramePr/>
              <a:graphic xmlns:a="http://schemas.openxmlformats.org/drawingml/2006/main">
                <a:graphicData uri="http://schemas.microsoft.com/office/word/2010/wordprocessingShape">
                  <wps:wsp>
                    <wps:cNvSpPr/>
                    <wps:spPr>
                      <a:xfrm>
                        <a:off x="293370" y="365760"/>
                        <a:ext cx="6840220" cy="9972040"/>
                      </a:xfrm>
                      <a:prstGeom prst="rect">
                        <a:avLst/>
                      </a:prstGeom>
                      <a:solidFill>
                        <a:schemeClr val="bg1">
                          <a:alpha val="55000"/>
                        </a:schemeClr>
                      </a:solidFill>
                      <a:ln>
                        <a:solidFill>
                          <a:schemeClr val="bg1">
                            <a:lumMod val="95000"/>
                          </a:schemeClr>
                        </a:solidFill>
                        <a:prstDash val="solid"/>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9.65pt;margin-top:0.45pt;height:785.2pt;width:538.6pt;z-index:251661312;v-text-anchor:middle;mso-width-relative:page;mso-height-relative:page;" fillcolor="#FFFFFF [3212]" filled="t" stroked="t" coordsize="21600,21600" o:gfxdata="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">
              <v:fill on="t" opacity="36044f" focussize="0,0"/>
              <v:stroke weight="1pt" color="#F2F2F2 [3052]" miterlimit="8" joinstyle="miter"/>
              <v:imagedata o:title=""/>
              <o:lock v:ext="edit" aspectratio="f"/>
            </v:rect>
          </w:pict>
        </mc:Fallback>
      </mc:AlternateContent>
    </w:r>
    <w:r>
      <w:rPr>
        <w:rFonts w:hint="eastAsia" w:eastAsia="宋体"/>
        <w:lang w:eastAsia="zh-CN"/>
      </w:rPr>
      <w:drawing>
        <wp:anchor distT="0" distB="0" distL="114300" distR="114300" simplePos="0" relativeHeight="251660288" behindDoc="1" locked="0" layoutInCell="1" allowOverlap="1">
          <wp:simplePos x="0" y="0"/>
          <wp:positionH relativeFrom="column">
            <wp:posOffset>-113030</wp:posOffset>
          </wp:positionH>
          <wp:positionV relativeFrom="paragraph">
            <wp:posOffset>-350520</wp:posOffset>
          </wp:positionV>
          <wp:extent cx="7559040" cy="10692130"/>
          <wp:effectExtent l="0" t="0" r="3810" b="13970"/>
          <wp:wrapNone/>
          <wp:docPr id="7" name="图片 7"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医学背景2"/>
                  <pic:cNvPicPr>
                    <a:picLocks noChangeAspect="1"/>
                  </pic:cNvPicPr>
                </pic:nvPicPr>
                <pic:blipFill>
                  <a:blip r:embed="rId1"/>
                  <a:stretch>
                    <a:fillRect/>
                  </a:stretch>
                </pic:blipFill>
                <pic:spPr>
                  <a:xfrm>
                    <a:off x="0" y="0"/>
                    <a:ext cx="7559040" cy="10692130"/>
                  </a:xfrm>
                  <a:prstGeom prst="rect">
                    <a:avLst/>
                  </a:prstGeom>
                </pic:spPr>
              </pic:pic>
            </a:graphicData>
          </a:graphic>
        </wp:anchor>
      </w:drawing>
    </w:r>
  </w:p>
  <w:p w14:paraId="76D56191">
    <w:pPr>
      <w:pStyle w:val="9"/>
      <w:pBdr>
        <w:bottom w:val="none" w:color="auto" w:sz="0" w:space="1"/>
      </w:pBdr>
      <w:rPr>
        <w:rFonts w:hint="eastAsia" w:eastAsia="宋体"/>
        <w:lang w:eastAsia="zh-CN"/>
      </w:rPr>
    </w:pPr>
    <w:r>
      <w:rPr>
        <w:rFonts w:hint="eastAsia" w:eastAsia="宋体"/>
        <w:lang w:eastAsia="zh-CN"/>
      </w:rPr>
      <w:drawing>
        <wp:inline distT="0" distB="0" distL="114300" distR="114300">
          <wp:extent cx="6614160" cy="9355455"/>
          <wp:effectExtent l="0" t="0" r="15240" b="17145"/>
          <wp:docPr id="6" name="图片 6"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医学背景2"/>
                  <pic:cNvPicPr>
                    <a:picLocks noChangeAspect="1"/>
                  </pic:cNvPicPr>
                </pic:nvPicPr>
                <pic:blipFill>
                  <a:blip r:embed="rId1"/>
                  <a:stretch>
                    <a:fillRect/>
                  </a:stretch>
                </pic:blipFill>
                <pic:spPr>
                  <a:xfrm>
                    <a:off x="0" y="0"/>
                    <a:ext cx="6614160" cy="9355455"/>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1DB6F23">
    <w:pPr>
      <w:pStyle w:val="9"/>
      <w:pBdr>
        <w:bottom w:val="none" w:color="auto" w:sz="0" w:space="1"/>
      </w:pBdr>
      <w:rPr>
        <w:rFonts w:hint="eastAsia" w:eastAsia="宋体"/>
        <w:lang w:eastAsia="zh-CN"/>
      </w:rPr>
    </w:pPr>
    <w:r>
      <w:rPr>
        <w:rFonts w:hint="eastAsia" w:eastAsia="宋体"/>
        <w:lang w:eastAsia="zh-CN"/>
      </w:rPr>
      <w:drawing>
        <wp:anchor distT="0" distB="0" distL="114300" distR="114300" simplePos="0" relativeHeight="251659264" behindDoc="1" locked="0" layoutInCell="1" allowOverlap="1">
          <wp:simplePos x="0" y="0"/>
          <wp:positionH relativeFrom="column">
            <wp:posOffset>-115570</wp:posOffset>
          </wp:positionH>
          <wp:positionV relativeFrom="paragraph">
            <wp:posOffset>-367030</wp:posOffset>
          </wp:positionV>
          <wp:extent cx="7559040" cy="10692130"/>
          <wp:effectExtent l="0" t="0" r="3810" b="13970"/>
          <wp:wrapNone/>
          <wp:docPr id="3" name="图片 3" descr="医学封面背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医学封面背景"/>
                  <pic:cNvPicPr>
                    <a:picLocks noChangeAspect="1"/>
                  </pic:cNvPicPr>
                </pic:nvPicPr>
                <pic:blipFill>
                  <a:blip r:embed="rId1"/>
                  <a:stretch>
                    <a:fillRect/>
                  </a:stretch>
                </pic:blipFill>
                <pic:spPr>
                  <a:xfrm>
                    <a:off x="0" y="0"/>
                    <a:ext cx="7559040" cy="10692130"/>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2UwZDJhYjUyNWMyYTM4YmY1YzczYWE4MTIwOWE1NDYifQ=="/>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27B08F2"/>
    <w:rsid w:val="03FD2384"/>
    <w:rsid w:val="0AC91BFE"/>
    <w:rsid w:val="0E3C75E8"/>
    <w:rsid w:val="118B5473"/>
    <w:rsid w:val="11CC0D8F"/>
    <w:rsid w:val="17AA7C19"/>
    <w:rsid w:val="1F7742B3"/>
    <w:rsid w:val="1FB84519"/>
    <w:rsid w:val="20F13C9B"/>
    <w:rsid w:val="238347DF"/>
    <w:rsid w:val="24B477DD"/>
    <w:rsid w:val="278141AB"/>
    <w:rsid w:val="28B578A7"/>
    <w:rsid w:val="2DDD6BFF"/>
    <w:rsid w:val="2F234AE5"/>
    <w:rsid w:val="31F14A27"/>
    <w:rsid w:val="3207249C"/>
    <w:rsid w:val="322A12C5"/>
    <w:rsid w:val="34AD60CD"/>
    <w:rsid w:val="34B67F89"/>
    <w:rsid w:val="368D542E"/>
    <w:rsid w:val="388B134B"/>
    <w:rsid w:val="3D171177"/>
    <w:rsid w:val="3D7E2995"/>
    <w:rsid w:val="3F30778A"/>
    <w:rsid w:val="436C72A2"/>
    <w:rsid w:val="43CD7F64"/>
    <w:rsid w:val="4442648B"/>
    <w:rsid w:val="44B33A23"/>
    <w:rsid w:val="45C91BBA"/>
    <w:rsid w:val="499248EA"/>
    <w:rsid w:val="49F8701E"/>
    <w:rsid w:val="4C7F0E23"/>
    <w:rsid w:val="53455429"/>
    <w:rsid w:val="55E24503"/>
    <w:rsid w:val="59411F8B"/>
    <w:rsid w:val="5A7C6694"/>
    <w:rsid w:val="5B5E462C"/>
    <w:rsid w:val="5B904C74"/>
    <w:rsid w:val="5FB00820"/>
    <w:rsid w:val="600E33E1"/>
    <w:rsid w:val="622A303A"/>
    <w:rsid w:val="64343B27"/>
    <w:rsid w:val="659832B3"/>
    <w:rsid w:val="67193A12"/>
    <w:rsid w:val="705D4B04"/>
    <w:rsid w:val="723010AC"/>
    <w:rsid w:val="74962C31"/>
    <w:rsid w:val="75846F2D"/>
    <w:rsid w:val="78DE3426"/>
    <w:rsid w:val="795C442C"/>
    <w:rsid w:val="7E1F5A4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qFormat/>
    <w:uiPriority w:val="9"/>
    <w:pPr>
      <w:keepNext/>
      <w:keepLines/>
      <w:spacing w:before="340" w:beforeLines="0" w:beforeAutospacing="0" w:after="330" w:afterLines="0" w:afterAutospacing="0" w:line="576" w:lineRule="auto"/>
      <w:outlineLvl w:val="0"/>
    </w:pPr>
    <w:rPr>
      <w:b/>
      <w:kern w:val="44"/>
      <w:sz w:val="44"/>
    </w:rPr>
  </w:style>
  <w:style w:type="paragraph" w:styleId="3">
    <w:name w:val="heading 3"/>
    <w:basedOn w:val="1"/>
    <w:next w:val="1"/>
    <w:link w:val="30"/>
    <w:semiHidden/>
    <w:unhideWhenUsed/>
    <w:qFormat/>
    <w:uiPriority w:val="9"/>
    <w:pPr>
      <w:keepNext/>
      <w:keepLines/>
      <w:spacing w:before="260" w:after="260" w:line="416" w:lineRule="auto"/>
      <w:outlineLvl w:val="2"/>
    </w:pPr>
    <w:rPr>
      <w:b/>
      <w:bCs/>
      <w:sz w:val="32"/>
      <w:szCs w:val="32"/>
    </w:rPr>
  </w:style>
  <w:style w:type="paragraph" w:styleId="4">
    <w:name w:val="heading 4"/>
    <w:basedOn w:val="1"/>
    <w:next w:val="1"/>
    <w:link w:val="23"/>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5">
    <w:name w:val="heading 5"/>
    <w:basedOn w:val="1"/>
    <w:next w:val="1"/>
    <w:link w:val="25"/>
    <w:semiHidden/>
    <w:unhideWhenUsed/>
    <w:qFormat/>
    <w:uiPriority w:val="9"/>
    <w:pPr>
      <w:keepNext/>
      <w:keepLines/>
      <w:spacing w:before="280" w:after="290" w:line="376" w:lineRule="auto"/>
      <w:outlineLvl w:val="4"/>
    </w:pPr>
    <w:rPr>
      <w:b/>
      <w:bCs/>
      <w:sz w:val="28"/>
      <w:szCs w:val="28"/>
    </w:rPr>
  </w:style>
  <w:style w:type="paragraph" w:styleId="6">
    <w:name w:val="heading 6"/>
    <w:basedOn w:val="1"/>
    <w:next w:val="1"/>
    <w:link w:val="26"/>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2">
    <w:name w:val="Default Paragraph Font"/>
    <w:semiHidden/>
    <w:unhideWhenUsed/>
    <w:qFormat/>
    <w:uiPriority w:val="1"/>
  </w:style>
  <w:style w:type="table" w:default="1" w:styleId="10">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7">
    <w:name w:val="caption"/>
    <w:basedOn w:val="1"/>
    <w:next w:val="1"/>
    <w:link w:val="28"/>
    <w:unhideWhenUsed/>
    <w:qFormat/>
    <w:uiPriority w:val="0"/>
    <w:rPr>
      <w:rFonts w:eastAsia="黑体" w:asciiTheme="majorHAnsi" w:hAnsiTheme="majorHAnsi" w:cstheme="majorBidi"/>
      <w:sz w:val="20"/>
      <w:szCs w:val="20"/>
    </w:rPr>
  </w:style>
  <w:style w:type="paragraph" w:styleId="8">
    <w:name w:val="footer"/>
    <w:basedOn w:val="1"/>
    <w:link w:val="19"/>
    <w:unhideWhenUsed/>
    <w:qFormat/>
    <w:uiPriority w:val="99"/>
    <w:pPr>
      <w:tabs>
        <w:tab w:val="center" w:pos="4153"/>
        <w:tab w:val="right" w:pos="8306"/>
      </w:tabs>
      <w:snapToGrid w:val="0"/>
      <w:jc w:val="left"/>
    </w:pPr>
    <w:rPr>
      <w:sz w:val="18"/>
      <w:szCs w:val="18"/>
    </w:rPr>
  </w:style>
  <w:style w:type="paragraph" w:styleId="9">
    <w:name w:val="header"/>
    <w:basedOn w:val="1"/>
    <w:link w:val="18"/>
    <w:unhideWhenUsed/>
    <w:qFormat/>
    <w:uiPriority w:val="99"/>
    <w:pPr>
      <w:pBdr>
        <w:bottom w:val="single" w:color="auto" w:sz="6" w:space="1"/>
      </w:pBdr>
      <w:tabs>
        <w:tab w:val="center" w:pos="4153"/>
        <w:tab w:val="right" w:pos="8306"/>
      </w:tabs>
      <w:snapToGrid w:val="0"/>
      <w:jc w:val="center"/>
    </w:pPr>
    <w:rPr>
      <w:sz w:val="18"/>
      <w:szCs w:val="18"/>
    </w:rPr>
  </w:style>
  <w:style w:type="table" w:styleId="11">
    <w:name w:val="Table Grid"/>
    <w:basedOn w:val="10"/>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3">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4">
    <w:name w:val="Heading #3|1"/>
    <w:basedOn w:val="1"/>
    <w:link w:val="15"/>
    <w:qFormat/>
    <w:uiPriority w:val="0"/>
    <w:pPr>
      <w:spacing w:after="160"/>
      <w:outlineLvl w:val="2"/>
    </w:pPr>
    <w:rPr>
      <w:rFonts w:ascii="宋体" w:hAnsi="宋体" w:cs="宋体"/>
      <w:color w:val="EC008D"/>
      <w:sz w:val="20"/>
      <w:szCs w:val="20"/>
      <w:lang w:val="zh-TW" w:eastAsia="zh-TW" w:bidi="zh-TW"/>
    </w:rPr>
  </w:style>
  <w:style w:type="character" w:customStyle="1" w:styleId="15">
    <w:name w:val="Heading #3|1 Char"/>
    <w:link w:val="14"/>
    <w:qFormat/>
    <w:uiPriority w:val="0"/>
    <w:rPr>
      <w:rFonts w:ascii="宋体" w:hAnsi="宋体" w:eastAsia="宋体" w:cs="宋体"/>
      <w:color w:val="EC008D"/>
      <w:sz w:val="20"/>
      <w:szCs w:val="20"/>
      <w:lang w:val="zh-TW" w:eastAsia="zh-TW" w:bidi="zh-TW"/>
    </w:rPr>
  </w:style>
  <w:style w:type="paragraph" w:customStyle="1" w:styleId="16">
    <w:name w:val="Body text|1"/>
    <w:basedOn w:val="1"/>
    <w:link w:val="17"/>
    <w:unhideWhenUsed/>
    <w:qFormat/>
    <w:uiPriority w:val="0"/>
    <w:pPr>
      <w:spacing w:line="360" w:lineRule="auto"/>
      <w:ind w:firstLine="400"/>
    </w:pPr>
    <w:rPr>
      <w:rFonts w:ascii="宋体" w:hAnsi="宋体" w:cs="宋体"/>
      <w:sz w:val="20"/>
      <w:szCs w:val="20"/>
      <w:lang w:val="zh-TW" w:eastAsia="zh-TW" w:bidi="zh-TW"/>
    </w:rPr>
  </w:style>
  <w:style w:type="character" w:customStyle="1" w:styleId="17">
    <w:name w:val="Body text|1 Char"/>
    <w:link w:val="16"/>
    <w:qFormat/>
    <w:uiPriority w:val="0"/>
    <w:rPr>
      <w:rFonts w:ascii="宋体" w:hAnsi="宋体" w:eastAsia="宋体" w:cs="宋体"/>
      <w:sz w:val="20"/>
      <w:szCs w:val="20"/>
      <w:lang w:val="zh-TW" w:eastAsia="zh-TW" w:bidi="zh-TW"/>
    </w:rPr>
  </w:style>
  <w:style w:type="character" w:customStyle="1" w:styleId="18">
    <w:name w:val="页眉 Char"/>
    <w:basedOn w:val="12"/>
    <w:link w:val="9"/>
    <w:qFormat/>
    <w:uiPriority w:val="99"/>
    <w:rPr>
      <w:rFonts w:ascii="Calibri" w:hAnsi="Calibri" w:eastAsia="宋体" w:cs="Times New Roman"/>
      <w:sz w:val="18"/>
      <w:szCs w:val="18"/>
    </w:rPr>
  </w:style>
  <w:style w:type="character" w:customStyle="1" w:styleId="19">
    <w:name w:val="页脚 Char"/>
    <w:basedOn w:val="12"/>
    <w:link w:val="8"/>
    <w:qFormat/>
    <w:uiPriority w:val="99"/>
    <w:rPr>
      <w:rFonts w:ascii="Calibri" w:hAnsi="Calibri" w:eastAsia="宋体" w:cs="Times New Roman"/>
      <w:sz w:val="18"/>
      <w:szCs w:val="18"/>
    </w:rPr>
  </w:style>
  <w:style w:type="paragraph" w:styleId="20">
    <w:name w:val="List Paragraph"/>
    <w:basedOn w:val="1"/>
    <w:qFormat/>
    <w:uiPriority w:val="34"/>
    <w:pPr>
      <w:ind w:firstLine="420" w:firstLineChars="200"/>
    </w:pPr>
  </w:style>
  <w:style w:type="paragraph" w:customStyle="1" w:styleId="21">
    <w:name w:val="知识拓展内容"/>
    <w:basedOn w:val="1"/>
    <w:link w:val="22"/>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2">
    <w:name w:val="知识拓展内容 Char"/>
    <w:link w:val="21"/>
    <w:qFormat/>
    <w:uiPriority w:val="0"/>
    <w:rPr>
      <w:rFonts w:ascii="Times New Roman" w:hAnsi="Times New Roman" w:eastAsia="仿宋_GB2312" w:cs="Times New Roman"/>
      <w:kern w:val="10"/>
      <w:szCs w:val="21"/>
      <w:shd w:val="clear" w:color="auto" w:fill="FADCE9"/>
      <w:lang w:val="zh-CN" w:eastAsia="zh-CN"/>
    </w:rPr>
  </w:style>
  <w:style w:type="character" w:customStyle="1" w:styleId="23">
    <w:name w:val="标题 4 Char"/>
    <w:basedOn w:val="12"/>
    <w:link w:val="4"/>
    <w:qFormat/>
    <w:uiPriority w:val="0"/>
    <w:rPr>
      <w:rFonts w:ascii="Times New Roman" w:hAnsi="Times New Roman" w:eastAsia="方正宋黑_GBK" w:cs="Times New Roman"/>
      <w:color w:val="E4007F"/>
      <w:sz w:val="26"/>
      <w:szCs w:val="20"/>
    </w:rPr>
  </w:style>
  <w:style w:type="character" w:customStyle="1" w:styleId="24">
    <w:name w:val="字符样式 拼音字体"/>
    <w:qFormat/>
    <w:uiPriority w:val="0"/>
    <w:rPr>
      <w:rFonts w:ascii="PinYinok" w:hAnsi="PinYinok"/>
      <w:sz w:val="24"/>
      <w:szCs w:val="24"/>
    </w:rPr>
  </w:style>
  <w:style w:type="character" w:customStyle="1" w:styleId="25">
    <w:name w:val="标题 5 Char"/>
    <w:basedOn w:val="12"/>
    <w:link w:val="5"/>
    <w:semiHidden/>
    <w:qFormat/>
    <w:uiPriority w:val="9"/>
    <w:rPr>
      <w:rFonts w:ascii="Calibri" w:hAnsi="Calibri" w:eastAsia="宋体" w:cs="Times New Roman"/>
      <w:b/>
      <w:bCs/>
      <w:sz w:val="28"/>
      <w:szCs w:val="28"/>
    </w:rPr>
  </w:style>
  <w:style w:type="character" w:customStyle="1" w:styleId="26">
    <w:name w:val="标题 6 Char"/>
    <w:basedOn w:val="12"/>
    <w:link w:val="6"/>
    <w:semiHidden/>
    <w:qFormat/>
    <w:uiPriority w:val="9"/>
    <w:rPr>
      <w:rFonts w:asciiTheme="majorHAnsi" w:hAnsiTheme="majorHAnsi" w:eastAsiaTheme="majorEastAsia" w:cstheme="majorBidi"/>
      <w:b/>
      <w:bCs/>
      <w:sz w:val="24"/>
      <w:szCs w:val="24"/>
    </w:rPr>
  </w:style>
  <w:style w:type="paragraph" w:customStyle="1" w:styleId="27">
    <w:name w:val="图片"/>
    <w:basedOn w:val="1"/>
    <w:next w:val="7"/>
    <w:link w:val="29"/>
    <w:qFormat/>
    <w:uiPriority w:val="0"/>
    <w:pPr>
      <w:spacing w:before="120"/>
      <w:jc w:val="center"/>
    </w:pPr>
    <w:rPr>
      <w:rFonts w:ascii="Times New Roman" w:hAnsi="Times New Roman"/>
      <w:szCs w:val="20"/>
    </w:rPr>
  </w:style>
  <w:style w:type="character" w:customStyle="1" w:styleId="28">
    <w:name w:val="题注 Char"/>
    <w:link w:val="7"/>
    <w:qFormat/>
    <w:locked/>
    <w:uiPriority w:val="0"/>
    <w:rPr>
      <w:rFonts w:eastAsia="黑体" w:asciiTheme="majorHAnsi" w:hAnsiTheme="majorHAnsi" w:cstheme="majorBidi"/>
      <w:sz w:val="20"/>
      <w:szCs w:val="20"/>
    </w:rPr>
  </w:style>
  <w:style w:type="character" w:customStyle="1" w:styleId="29">
    <w:name w:val="图片 Char"/>
    <w:link w:val="27"/>
    <w:qFormat/>
    <w:locked/>
    <w:uiPriority w:val="0"/>
    <w:rPr>
      <w:rFonts w:ascii="Times New Roman" w:hAnsi="Times New Roman" w:eastAsia="宋体" w:cs="Times New Roman"/>
      <w:szCs w:val="20"/>
    </w:rPr>
  </w:style>
  <w:style w:type="character" w:customStyle="1" w:styleId="30">
    <w:name w:val="标题 3 Char"/>
    <w:basedOn w:val="12"/>
    <w:link w:val="3"/>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customXml" Target="../customXml/item1.xml"/><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theme" Target="theme/theme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9</Pages>
  <Words>7642</Words>
  <Characters>8026</Characters>
  <Lines>1</Lines>
  <Paragraphs>1</Paragraphs>
  <TotalTime>0</TotalTime>
  <ScaleCrop>false</ScaleCrop>
  <LinksUpToDate>false</LinksUpToDate>
  <CharactersWithSpaces>8448</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2021-06-08T10:03:00Z</dcterms:created>
  <dc:creator>DELL</dc:creator>
  <cp:lastModifiedBy>Administrator</cp:lastModifiedBy>
  <dcterms:modified xsi:type="dcterms:W3CDTF">2025-09-05T02:09:05Z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254A9DA383FB4BF8A9EF02D4D914924D_13</vt:lpwstr>
  </property>
  <property fmtid="{D5CDD505-2E9C-101B-9397-08002B2CF9AE}" pid="4" name="KSOTemplateDocerSaveRecord">
    <vt:lpwstr>eyJoZGlkIjoiMGQ2MWZjZjk2MDJkNDExMGZjMzQxZTk4OTVmYzBiNzYifQ==</vt:lpwstr>
  </property>
</Properties>
</file>